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11FDA" w14:textId="77777777" w:rsidR="00930A78" w:rsidRPr="00930A78" w:rsidRDefault="00930A78" w:rsidP="00930A78">
      <w:pPr>
        <w:spacing w:before="0" w:after="132" w:line="266" w:lineRule="auto"/>
        <w:ind w:left="70"/>
        <w:rPr>
          <w:rFonts w:eastAsia="Times New Roman" w:cs="Times New Roman"/>
          <w:color w:val="000000"/>
          <w:lang w:eastAsia="pl-PL"/>
        </w:rPr>
      </w:pPr>
    </w:p>
    <w:p w14:paraId="605FE3D5" w14:textId="77777777" w:rsidR="00930A78" w:rsidRPr="00930A78" w:rsidRDefault="00930A78" w:rsidP="00930A78">
      <w:pPr>
        <w:spacing w:before="0" w:after="132" w:line="266" w:lineRule="auto"/>
        <w:ind w:left="70"/>
        <w:rPr>
          <w:rFonts w:eastAsia="Times New Roman" w:cs="Times New Roman"/>
          <w:color w:val="000000"/>
          <w:lang w:eastAsia="pl-PL"/>
        </w:rPr>
      </w:pPr>
    </w:p>
    <w:p w14:paraId="59B4431C" w14:textId="77777777" w:rsidR="00930A78" w:rsidRPr="00930A78" w:rsidRDefault="00930A78" w:rsidP="00930A78">
      <w:pPr>
        <w:spacing w:before="0" w:after="132" w:line="266" w:lineRule="auto"/>
        <w:ind w:left="70"/>
        <w:rPr>
          <w:rFonts w:eastAsia="Times New Roman" w:cs="Times New Roman"/>
          <w:color w:val="000000"/>
          <w:lang w:eastAsia="pl-PL"/>
        </w:rPr>
      </w:pPr>
    </w:p>
    <w:p w14:paraId="737F761D" w14:textId="77777777" w:rsidR="00930A78" w:rsidRPr="00930A78" w:rsidRDefault="00930A78" w:rsidP="00930A78">
      <w:pPr>
        <w:spacing w:before="0" w:after="132" w:line="266" w:lineRule="auto"/>
        <w:ind w:left="70"/>
        <w:rPr>
          <w:rFonts w:eastAsia="Times New Roman" w:cs="Times New Roman"/>
          <w:color w:val="000000"/>
          <w:lang w:eastAsia="pl-PL"/>
        </w:rPr>
      </w:pPr>
    </w:p>
    <w:p w14:paraId="5E8A2A00" w14:textId="3A250235" w:rsidR="00930A78" w:rsidRDefault="00930A78" w:rsidP="00930A78">
      <w:pPr>
        <w:spacing w:before="0" w:after="132" w:line="266" w:lineRule="auto"/>
        <w:ind w:left="70"/>
        <w:rPr>
          <w:rFonts w:eastAsia="Times New Roman" w:cs="Times New Roman"/>
          <w:color w:val="000000"/>
          <w:lang w:eastAsia="pl-PL"/>
        </w:rPr>
      </w:pPr>
    </w:p>
    <w:p w14:paraId="38D28F36" w14:textId="77777777" w:rsidR="00DF04AB" w:rsidRPr="00930A78" w:rsidRDefault="00DF04AB" w:rsidP="00930A78">
      <w:pPr>
        <w:spacing w:before="0" w:after="132" w:line="266" w:lineRule="auto"/>
        <w:ind w:left="70"/>
        <w:rPr>
          <w:rFonts w:eastAsia="Times New Roman" w:cs="Times New Roman"/>
          <w:color w:val="000000"/>
          <w:lang w:eastAsia="pl-PL"/>
        </w:rPr>
      </w:pPr>
    </w:p>
    <w:p w14:paraId="757A3204" w14:textId="4950CE94" w:rsidR="00930A78" w:rsidRPr="00930A78" w:rsidRDefault="00930A78" w:rsidP="00930A78">
      <w:pPr>
        <w:spacing w:before="0" w:after="132" w:line="266" w:lineRule="auto"/>
        <w:ind w:left="70"/>
        <w:jc w:val="center"/>
        <w:rPr>
          <w:rFonts w:eastAsia="Times New Roman" w:cs="Times New Roman"/>
          <w:b/>
          <w:bCs/>
          <w:color w:val="000000"/>
          <w:sz w:val="40"/>
          <w:szCs w:val="36"/>
          <w:lang w:eastAsia="pl-PL"/>
        </w:rPr>
      </w:pPr>
      <w:r w:rsidRPr="00930A78">
        <w:rPr>
          <w:rFonts w:eastAsia="Times New Roman" w:cs="Times New Roman"/>
          <w:b/>
          <w:bCs/>
          <w:color w:val="000000"/>
          <w:sz w:val="40"/>
          <w:szCs w:val="36"/>
          <w:lang w:eastAsia="pl-PL"/>
        </w:rPr>
        <w:t xml:space="preserve">KARTA AKTUALIZACJI nr </w:t>
      </w:r>
      <w:r w:rsidR="00FE431C">
        <w:rPr>
          <w:rFonts w:eastAsia="Times New Roman" w:cs="Times New Roman"/>
          <w:b/>
          <w:bCs/>
          <w:color w:val="000000"/>
          <w:sz w:val="40"/>
          <w:szCs w:val="36"/>
          <w:lang w:eastAsia="pl-PL"/>
        </w:rPr>
        <w:t>1</w:t>
      </w:r>
      <w:r w:rsidRPr="00930A78">
        <w:rPr>
          <w:rFonts w:eastAsia="Times New Roman" w:cs="Times New Roman"/>
          <w:b/>
          <w:bCs/>
          <w:color w:val="000000"/>
          <w:sz w:val="40"/>
          <w:szCs w:val="36"/>
          <w:lang w:eastAsia="pl-PL"/>
        </w:rPr>
        <w:t>/202</w:t>
      </w:r>
      <w:r w:rsidR="00FE431C">
        <w:rPr>
          <w:rFonts w:eastAsia="Times New Roman" w:cs="Times New Roman"/>
          <w:b/>
          <w:bCs/>
          <w:color w:val="000000"/>
          <w:sz w:val="40"/>
          <w:szCs w:val="36"/>
          <w:lang w:eastAsia="pl-PL"/>
        </w:rPr>
        <w:t>3</w:t>
      </w:r>
    </w:p>
    <w:p w14:paraId="6BDDB27F" w14:textId="77777777" w:rsidR="00930A78" w:rsidRPr="00930A78" w:rsidRDefault="00930A78" w:rsidP="00930A78">
      <w:pPr>
        <w:spacing w:before="0" w:after="132" w:line="266" w:lineRule="auto"/>
        <w:ind w:left="70"/>
        <w:jc w:val="center"/>
        <w:rPr>
          <w:rFonts w:eastAsia="Times New Roman" w:cs="Times New Roman"/>
          <w:b/>
          <w:bCs/>
          <w:color w:val="000000"/>
          <w:sz w:val="36"/>
          <w:szCs w:val="32"/>
          <w:lang w:eastAsia="pl-PL"/>
        </w:rPr>
      </w:pPr>
      <w:r w:rsidRPr="00930A78">
        <w:rPr>
          <w:rFonts w:eastAsia="Times New Roman" w:cs="Times New Roman"/>
          <w:b/>
          <w:bCs/>
          <w:color w:val="000000"/>
          <w:sz w:val="36"/>
          <w:szCs w:val="32"/>
          <w:lang w:eastAsia="pl-PL"/>
        </w:rPr>
        <w:t>INSTRUKCJI RUCHU I EKSPLOATACJI</w:t>
      </w:r>
    </w:p>
    <w:p w14:paraId="33159378" w14:textId="3E9121DA" w:rsidR="00930A78" w:rsidRPr="00930A78" w:rsidRDefault="00930A78" w:rsidP="00930A78">
      <w:pPr>
        <w:spacing w:before="0" w:after="132" w:line="266" w:lineRule="auto"/>
        <w:ind w:left="70"/>
        <w:jc w:val="center"/>
        <w:rPr>
          <w:rFonts w:eastAsia="Times New Roman" w:cs="Times New Roman"/>
          <w:b/>
          <w:bCs/>
          <w:color w:val="000000"/>
          <w:sz w:val="36"/>
          <w:szCs w:val="32"/>
          <w:lang w:eastAsia="pl-PL"/>
        </w:rPr>
      </w:pPr>
      <w:r w:rsidRPr="00930A78">
        <w:rPr>
          <w:rFonts w:eastAsia="Times New Roman" w:cs="Times New Roman"/>
          <w:b/>
          <w:bCs/>
          <w:color w:val="000000"/>
          <w:sz w:val="36"/>
          <w:szCs w:val="32"/>
          <w:lang w:eastAsia="pl-PL"/>
        </w:rPr>
        <w:t xml:space="preserve">SIECI DYSTRYBUCYJNEJ </w:t>
      </w:r>
    </w:p>
    <w:p w14:paraId="5DC73AA2" w14:textId="77777777" w:rsidR="00930A78" w:rsidRPr="00930A78" w:rsidRDefault="00930A78" w:rsidP="00930A78">
      <w:pPr>
        <w:spacing w:before="0" w:after="132" w:line="266" w:lineRule="auto"/>
        <w:ind w:left="70"/>
        <w:rPr>
          <w:rFonts w:eastAsia="Times New Roman" w:cs="Times New Roman"/>
          <w:color w:val="000000"/>
          <w:lang w:eastAsia="pl-PL"/>
        </w:rPr>
      </w:pPr>
    </w:p>
    <w:p w14:paraId="3F21431A" w14:textId="77777777" w:rsidR="00930A78" w:rsidRPr="00930A78" w:rsidRDefault="00930A78" w:rsidP="00930A78">
      <w:pPr>
        <w:spacing w:before="0" w:after="132" w:line="266" w:lineRule="auto"/>
        <w:ind w:left="70"/>
        <w:rPr>
          <w:rFonts w:eastAsia="Times New Roman" w:cs="Times New Roman"/>
          <w:color w:val="000000"/>
          <w:lang w:eastAsia="pl-PL"/>
        </w:rPr>
      </w:pPr>
    </w:p>
    <w:p w14:paraId="7A1805A6" w14:textId="77777777" w:rsidR="00930A78" w:rsidRPr="00930A78" w:rsidRDefault="00930A78" w:rsidP="00930A78">
      <w:pPr>
        <w:spacing w:before="0" w:after="132" w:line="266" w:lineRule="auto"/>
        <w:ind w:left="70"/>
        <w:rPr>
          <w:rFonts w:eastAsia="Times New Roman" w:cs="Times New Roman"/>
          <w:color w:val="000000"/>
          <w:lang w:eastAsia="pl-PL"/>
        </w:rPr>
      </w:pPr>
    </w:p>
    <w:p w14:paraId="6216FBF5" w14:textId="77777777" w:rsidR="00063D05" w:rsidRPr="00975F44" w:rsidRDefault="00063D05" w:rsidP="00063D05">
      <w:pPr>
        <w:spacing w:before="0" w:after="83" w:line="276" w:lineRule="auto"/>
        <w:ind w:left="725" w:right="47" w:hanging="718"/>
        <w:jc w:val="center"/>
        <w:rPr>
          <w:rFonts w:ascii="Cambria" w:eastAsia="Arial" w:hAnsi="Cambria" w:cstheme="minorHAnsi"/>
          <w:bCs/>
          <w:i/>
          <w:iCs/>
          <w:sz w:val="28"/>
          <w:szCs w:val="28"/>
          <w:lang w:eastAsia="pl-PL"/>
        </w:rPr>
      </w:pPr>
      <w:bookmarkStart w:id="0" w:name="_Hlk99309425"/>
      <w:r w:rsidRPr="00975F44">
        <w:rPr>
          <w:rFonts w:ascii="Cambria" w:eastAsia="Arial" w:hAnsi="Cambria" w:cstheme="minorHAnsi"/>
          <w:bCs/>
          <w:i/>
          <w:iCs/>
          <w:sz w:val="28"/>
          <w:szCs w:val="28"/>
          <w:lang w:eastAsia="pl-PL"/>
        </w:rPr>
        <w:t xml:space="preserve">Zatwierdzona dnia </w:t>
      </w:r>
      <w:r>
        <w:rPr>
          <w:rFonts w:ascii="Cambria" w:eastAsia="Arial" w:hAnsi="Cambria" w:cstheme="minorHAnsi"/>
          <w:bCs/>
          <w:i/>
          <w:iCs/>
          <w:sz w:val="28"/>
          <w:szCs w:val="28"/>
          <w:lang w:eastAsia="pl-PL"/>
        </w:rPr>
        <w:t>…………….</w:t>
      </w:r>
      <w:r w:rsidRPr="00975F44">
        <w:rPr>
          <w:rFonts w:ascii="Cambria" w:eastAsia="Arial" w:hAnsi="Cambria" w:cstheme="minorHAnsi"/>
          <w:bCs/>
          <w:i/>
          <w:iCs/>
          <w:sz w:val="28"/>
          <w:szCs w:val="28"/>
          <w:lang w:eastAsia="pl-PL"/>
        </w:rPr>
        <w:t xml:space="preserve"> roku</w:t>
      </w:r>
    </w:p>
    <w:bookmarkEnd w:id="0"/>
    <w:p w14:paraId="67991D76" w14:textId="77777777" w:rsidR="00930A78" w:rsidRPr="00930A78" w:rsidRDefault="00930A78" w:rsidP="00930A78">
      <w:pPr>
        <w:spacing w:before="0" w:after="132" w:line="266" w:lineRule="auto"/>
        <w:ind w:left="70"/>
        <w:rPr>
          <w:rFonts w:eastAsia="Times New Roman" w:cs="Times New Roman"/>
          <w:color w:val="000000"/>
          <w:lang w:eastAsia="pl-PL"/>
        </w:rPr>
      </w:pPr>
    </w:p>
    <w:p w14:paraId="780C2602" w14:textId="77777777" w:rsidR="00930A78" w:rsidRPr="00930A78" w:rsidRDefault="00930A78" w:rsidP="00930A78">
      <w:pPr>
        <w:spacing w:before="0" w:after="132" w:line="266" w:lineRule="auto"/>
        <w:ind w:left="70"/>
        <w:rPr>
          <w:rFonts w:eastAsia="Times New Roman" w:cs="Times New Roman"/>
          <w:color w:val="000000"/>
          <w:lang w:eastAsia="pl-PL"/>
        </w:rPr>
      </w:pPr>
    </w:p>
    <w:p w14:paraId="051B1B62" w14:textId="77777777" w:rsidR="00930A78" w:rsidRPr="00930A78" w:rsidRDefault="00930A78" w:rsidP="00930A78">
      <w:pPr>
        <w:spacing w:before="0" w:after="132" w:line="266" w:lineRule="auto"/>
        <w:ind w:left="70"/>
        <w:rPr>
          <w:rFonts w:eastAsia="Times New Roman" w:cs="Times New Roman"/>
          <w:color w:val="000000"/>
          <w:lang w:eastAsia="pl-PL"/>
        </w:rPr>
      </w:pPr>
    </w:p>
    <w:p w14:paraId="7BF62D6E" w14:textId="77777777" w:rsidR="00930A78" w:rsidRPr="00930A78" w:rsidRDefault="00930A78" w:rsidP="00930A78">
      <w:pPr>
        <w:spacing w:before="0" w:after="132" w:line="266" w:lineRule="auto"/>
        <w:ind w:left="70"/>
        <w:rPr>
          <w:rFonts w:eastAsia="Times New Roman" w:cs="Times New Roman"/>
          <w:color w:val="000000"/>
          <w:lang w:eastAsia="pl-PL"/>
        </w:rPr>
      </w:pPr>
    </w:p>
    <w:p w14:paraId="2E39C2F5" w14:textId="77777777" w:rsidR="00930A78" w:rsidRPr="00930A78" w:rsidRDefault="00930A78" w:rsidP="00930A78">
      <w:pPr>
        <w:spacing w:before="0" w:after="132" w:line="266" w:lineRule="auto"/>
        <w:ind w:left="70"/>
        <w:rPr>
          <w:rFonts w:eastAsia="Times New Roman" w:cs="Times New Roman"/>
          <w:color w:val="000000"/>
          <w:lang w:eastAsia="pl-PL"/>
        </w:rPr>
      </w:pPr>
    </w:p>
    <w:p w14:paraId="78F8FD5A" w14:textId="77777777" w:rsidR="00930A78" w:rsidRPr="00930A78" w:rsidRDefault="00930A78" w:rsidP="00930A78">
      <w:pPr>
        <w:spacing w:before="0" w:after="132" w:line="266" w:lineRule="auto"/>
        <w:ind w:left="70"/>
        <w:rPr>
          <w:rFonts w:eastAsia="Times New Roman" w:cs="Times New Roman"/>
          <w:color w:val="000000"/>
          <w:lang w:eastAsia="pl-PL"/>
        </w:rPr>
      </w:pPr>
    </w:p>
    <w:p w14:paraId="031C696C" w14:textId="77777777" w:rsidR="00930A78" w:rsidRPr="00930A78" w:rsidRDefault="00930A78" w:rsidP="00930A78">
      <w:pPr>
        <w:spacing w:before="0" w:after="132" w:line="266" w:lineRule="auto"/>
        <w:ind w:left="70"/>
        <w:rPr>
          <w:rFonts w:eastAsia="Times New Roman" w:cs="Times New Roman"/>
          <w:color w:val="000000"/>
          <w:lang w:eastAsia="pl-PL"/>
        </w:rPr>
      </w:pPr>
    </w:p>
    <w:p w14:paraId="7405144C" w14:textId="77777777" w:rsidR="00930A78" w:rsidRPr="00930A78" w:rsidRDefault="00930A78" w:rsidP="00930A78">
      <w:pPr>
        <w:spacing w:before="0" w:after="132" w:line="266" w:lineRule="auto"/>
        <w:ind w:left="70"/>
        <w:rPr>
          <w:rFonts w:eastAsia="Times New Roman" w:cs="Times New Roman"/>
          <w:color w:val="000000"/>
          <w:lang w:eastAsia="pl-PL"/>
        </w:rPr>
      </w:pPr>
    </w:p>
    <w:p w14:paraId="01E88D12" w14:textId="77777777" w:rsidR="00930A78" w:rsidRPr="00930A78" w:rsidRDefault="00930A78" w:rsidP="00930A78">
      <w:pPr>
        <w:spacing w:before="0" w:after="132" w:line="266" w:lineRule="auto"/>
        <w:ind w:left="70"/>
        <w:rPr>
          <w:rFonts w:eastAsia="Times New Roman" w:cs="Times New Roman"/>
          <w:color w:val="000000"/>
          <w:lang w:eastAsia="pl-PL"/>
        </w:rPr>
      </w:pPr>
    </w:p>
    <w:p w14:paraId="51788D7B" w14:textId="77777777" w:rsidR="00930A78" w:rsidRPr="00930A78" w:rsidRDefault="00930A78" w:rsidP="00930A78">
      <w:pPr>
        <w:spacing w:before="0" w:after="132" w:line="266" w:lineRule="auto"/>
        <w:ind w:left="70"/>
        <w:rPr>
          <w:rFonts w:eastAsia="Times New Roman" w:cs="Times New Roman"/>
          <w:color w:val="000000"/>
          <w:lang w:eastAsia="pl-PL"/>
        </w:rPr>
      </w:pPr>
    </w:p>
    <w:p w14:paraId="18D88C64" w14:textId="77777777" w:rsidR="00930A78" w:rsidRPr="00930A78" w:rsidRDefault="00930A78" w:rsidP="00930A78">
      <w:pPr>
        <w:spacing w:before="0" w:after="132" w:line="266" w:lineRule="auto"/>
        <w:ind w:left="70"/>
        <w:rPr>
          <w:rFonts w:eastAsia="Times New Roman" w:cs="Times New Roman"/>
          <w:color w:val="000000"/>
          <w:lang w:eastAsia="pl-PL"/>
        </w:rPr>
      </w:pPr>
    </w:p>
    <w:p w14:paraId="468EA79A" w14:textId="77777777" w:rsidR="00930A78" w:rsidRPr="00930A78" w:rsidRDefault="00930A78" w:rsidP="00930A78">
      <w:pPr>
        <w:spacing w:before="0" w:after="132" w:line="266" w:lineRule="auto"/>
        <w:ind w:left="70"/>
        <w:rPr>
          <w:rFonts w:eastAsia="Times New Roman" w:cs="Times New Roman"/>
          <w:color w:val="000000"/>
          <w:lang w:eastAsia="pl-PL"/>
        </w:rPr>
      </w:pPr>
    </w:p>
    <w:p w14:paraId="18F38183" w14:textId="77777777" w:rsidR="00930A78" w:rsidRDefault="00930A78">
      <w:pPr>
        <w:spacing w:before="0"/>
        <w:jc w:val="left"/>
      </w:pPr>
    </w:p>
    <w:p w14:paraId="22C7C6F2" w14:textId="77777777" w:rsidR="00930A78" w:rsidRDefault="00930A78">
      <w:pPr>
        <w:spacing w:before="0"/>
        <w:jc w:val="left"/>
      </w:pPr>
    </w:p>
    <w:p w14:paraId="154D91F1" w14:textId="465BA1B7" w:rsidR="0023769D" w:rsidRPr="00CC2CFB" w:rsidRDefault="00930A78" w:rsidP="00930A78">
      <w:pPr>
        <w:spacing w:before="0"/>
        <w:jc w:val="left"/>
      </w:pPr>
      <w:r>
        <w:br w:type="page"/>
      </w:r>
    </w:p>
    <w:p w14:paraId="5BE48C43" w14:textId="2BD38EF2" w:rsidR="0023769D" w:rsidRPr="00930A78" w:rsidRDefault="0023769D" w:rsidP="004A5A0B">
      <w:pPr>
        <w:pStyle w:val="Numeracja1"/>
        <w:rPr>
          <w:b w:val="0"/>
          <w:bCs/>
        </w:rPr>
      </w:pPr>
      <w:r w:rsidRPr="00CC2CFB">
        <w:t xml:space="preserve">Planowana data wejścia w życie aktualizacji: </w:t>
      </w:r>
      <w:r w:rsidR="006C3FC1" w:rsidRPr="00930A78">
        <w:rPr>
          <w:b w:val="0"/>
          <w:bCs/>
        </w:rPr>
        <w:t xml:space="preserve">data zatwierdzenia Karty aktualizacji nr </w:t>
      </w:r>
      <w:r w:rsidR="003B21DE">
        <w:rPr>
          <w:b w:val="0"/>
          <w:bCs/>
        </w:rPr>
        <w:t>1</w:t>
      </w:r>
      <w:r w:rsidR="006C3FC1" w:rsidRPr="00930A78">
        <w:rPr>
          <w:b w:val="0"/>
          <w:bCs/>
        </w:rPr>
        <w:t>/202</w:t>
      </w:r>
      <w:r w:rsidR="003B21DE">
        <w:rPr>
          <w:b w:val="0"/>
          <w:bCs/>
        </w:rPr>
        <w:t>3</w:t>
      </w:r>
      <w:r w:rsidR="006C3FC1" w:rsidRPr="00930A78">
        <w:rPr>
          <w:b w:val="0"/>
          <w:bCs/>
        </w:rPr>
        <w:t xml:space="preserve"> </w:t>
      </w:r>
      <w:proofErr w:type="spellStart"/>
      <w:r w:rsidR="006C3FC1" w:rsidRPr="00930A78">
        <w:rPr>
          <w:b w:val="0"/>
          <w:bCs/>
        </w:rPr>
        <w:t>IRiESD</w:t>
      </w:r>
      <w:proofErr w:type="spellEnd"/>
      <w:r w:rsidR="006C3FC1" w:rsidRPr="00930A78">
        <w:rPr>
          <w:b w:val="0"/>
          <w:bCs/>
        </w:rPr>
        <w:t xml:space="preserve"> przez </w:t>
      </w:r>
      <w:r w:rsidR="00930A78">
        <w:rPr>
          <w:b w:val="0"/>
          <w:bCs/>
        </w:rPr>
        <w:t xml:space="preserve">Zarząd </w:t>
      </w:r>
      <w:r w:rsidR="008F777C">
        <w:rPr>
          <w:b w:val="0"/>
          <w:bCs/>
        </w:rPr>
        <w:t>16.06.2023</w:t>
      </w:r>
    </w:p>
    <w:p w14:paraId="542DD887" w14:textId="116F0B8C" w:rsidR="0023769D" w:rsidRPr="00CC2CFB" w:rsidRDefault="0023769D" w:rsidP="004A5A0B">
      <w:pPr>
        <w:pStyle w:val="Numeracja1"/>
      </w:pPr>
      <w:r w:rsidRPr="00CC2CFB">
        <w:t xml:space="preserve">Przedmiot i przyczyna aktualizacji </w:t>
      </w:r>
      <w:proofErr w:type="spellStart"/>
      <w:r w:rsidRPr="00CC2CFB">
        <w:t>IRiESD</w:t>
      </w:r>
      <w:proofErr w:type="spellEnd"/>
      <w:r w:rsidRPr="00CC2CFB">
        <w:t xml:space="preserve"> </w:t>
      </w:r>
    </w:p>
    <w:p w14:paraId="6173881C" w14:textId="3D6DB7B8" w:rsidR="00C054C2" w:rsidRPr="00C054C2" w:rsidRDefault="0023769D" w:rsidP="00C054C2">
      <w:pPr>
        <w:pStyle w:val="NormalnyIRIESD"/>
      </w:pPr>
      <w:r w:rsidRPr="00CC2CFB">
        <w:t xml:space="preserve">Przedstawione w niniejszej Karcie Aktualizacji zmiany zapisów </w:t>
      </w:r>
      <w:proofErr w:type="spellStart"/>
      <w:r w:rsidRPr="00CC2CFB">
        <w:t>IRiESD</w:t>
      </w:r>
      <w:proofErr w:type="spellEnd"/>
      <w:r w:rsidRPr="00CC2CFB">
        <w:t xml:space="preserve"> wynikają z: </w:t>
      </w:r>
    </w:p>
    <w:p w14:paraId="424AB7E3" w14:textId="571CFFB2" w:rsidR="00C054C2" w:rsidRPr="00C054C2" w:rsidRDefault="00C054C2" w:rsidP="00C054C2">
      <w:pPr>
        <w:pStyle w:val="drugi"/>
      </w:pPr>
      <w:r w:rsidRPr="00C054C2">
        <w:t xml:space="preserve">ustawy z dnia 20 maja 2021 r. o zmianie ustawy - Prawo energetyczne oraz niektórych innych ustaw (Dz.U. 2021 poz. 1093 z </w:t>
      </w:r>
      <w:proofErr w:type="spellStart"/>
      <w:r w:rsidRPr="00C054C2">
        <w:t>późn</w:t>
      </w:r>
      <w:proofErr w:type="spellEnd"/>
      <w:r w:rsidRPr="00C054C2">
        <w:t>. zm.)</w:t>
      </w:r>
      <w:r w:rsidR="0096477F">
        <w:t>,</w:t>
      </w:r>
    </w:p>
    <w:p w14:paraId="7BC91BEB" w14:textId="1831D5D9" w:rsidR="0023769D" w:rsidRPr="00CC2CFB" w:rsidRDefault="00C054C2" w:rsidP="00C054C2">
      <w:pPr>
        <w:pStyle w:val="drugi"/>
      </w:pPr>
      <w:r w:rsidRPr="00C054C2">
        <w:t xml:space="preserve">ustawy z dnia 23 lipca 2021 r. o zmianie ustawy o rynku mocy oraz niektórych innych ustaw (Dz.U. z 2021 r. poz. 1505), </w:t>
      </w:r>
    </w:p>
    <w:p w14:paraId="6D410FDD" w14:textId="3631613F" w:rsidR="0023769D" w:rsidRPr="00CC2CFB" w:rsidRDefault="0096477F" w:rsidP="0052034A">
      <w:pPr>
        <w:pStyle w:val="drugi"/>
      </w:pPr>
      <w:r>
        <w:t>ustawy z dnia 17 września 2021 r. o zmianie ostawy o odnawialnych źródłach energii oraz niektórych innych ustaw (Dz.U. z 2021 r. poz. 1873)</w:t>
      </w:r>
      <w:r w:rsidR="0023769D" w:rsidRPr="00CC2CFB">
        <w:t xml:space="preserve">, </w:t>
      </w:r>
    </w:p>
    <w:p w14:paraId="740A771C" w14:textId="1641E493" w:rsidR="0023769D" w:rsidRPr="00CC2CFB" w:rsidRDefault="0096477F" w:rsidP="0052034A">
      <w:pPr>
        <w:pStyle w:val="drugi"/>
      </w:pPr>
      <w:r>
        <w:t xml:space="preserve">ustawy z dnia 2 grudnia 2021 r. o zmianie ustawy o </w:t>
      </w:r>
      <w:proofErr w:type="spellStart"/>
      <w:r>
        <w:t>elektromobilności</w:t>
      </w:r>
      <w:proofErr w:type="spellEnd"/>
      <w:r>
        <w:t xml:space="preserve"> i paliwach alternatywnych oraz niektórych innych ustaw (Dz. U. z 2021 r. poz. 2269),</w:t>
      </w:r>
    </w:p>
    <w:p w14:paraId="508867AE" w14:textId="6024F487" w:rsidR="0023769D" w:rsidRPr="00CC2CFB" w:rsidRDefault="0096477F" w:rsidP="0052034A">
      <w:pPr>
        <w:pStyle w:val="drugi"/>
      </w:pPr>
      <w:r>
        <w:t xml:space="preserve">ustawy z dnia 17 grudnia 2021 r. o dodatku osłonowym (Dz.U. z 2022 r. poz. 1 z </w:t>
      </w:r>
      <w:proofErr w:type="spellStart"/>
      <w:r>
        <w:t>p</w:t>
      </w:r>
      <w:r w:rsidR="00807BD4">
        <w:t>óźn</w:t>
      </w:r>
      <w:proofErr w:type="spellEnd"/>
      <w:r w:rsidR="00807BD4">
        <w:t>.</w:t>
      </w:r>
      <w:r>
        <w:t xml:space="preserve"> zm.)</w:t>
      </w:r>
    </w:p>
    <w:p w14:paraId="6903D14A" w14:textId="77777777" w:rsidR="0096477F" w:rsidRDefault="0096477F" w:rsidP="0052034A">
      <w:pPr>
        <w:pStyle w:val="drugi"/>
      </w:pPr>
      <w:r>
        <w:t>rozporządzenia Ministra Klimatu i Środowiska z dnia 21 października 2021 r. w sprawie rejestru magazynów energii elektrycznej (Dz. U. z 2021 r. poz. 2010),</w:t>
      </w:r>
    </w:p>
    <w:p w14:paraId="28A7E7C2" w14:textId="6770394E" w:rsidR="0096477F" w:rsidRDefault="0096477F" w:rsidP="0052034A">
      <w:pPr>
        <w:pStyle w:val="drugi"/>
      </w:pPr>
      <w:r>
        <w:t>rozporządzenia Rady Ministrów z dnia 8 listopada 2021 r. w sprawie szczegółowych zasad i</w:t>
      </w:r>
      <w:r w:rsidR="00AA71C4">
        <w:t> </w:t>
      </w:r>
      <w:r>
        <w:t>trybu wprowadzania ograniczeń w sprzedaży paliw stałych oraz w dostarczaniu i poborze energii elektrycznej lub ciepła (Dz.U. z 2021 r. poz. 2209),</w:t>
      </w:r>
    </w:p>
    <w:p w14:paraId="1BFE5774" w14:textId="4F8BCB8F" w:rsidR="0023769D" w:rsidRPr="00CC2CFB" w:rsidRDefault="0096477F" w:rsidP="0052034A">
      <w:pPr>
        <w:pStyle w:val="drugi"/>
      </w:pPr>
      <w:r>
        <w:t>rozporządzenia Ministra Klimatu i Środowiska z dnia 30 listopada 2021 r.</w:t>
      </w:r>
      <w:r w:rsidR="0023769D" w:rsidRPr="00CC2CFB">
        <w:t xml:space="preserve"> </w:t>
      </w:r>
      <w:r w:rsidR="00807BD4">
        <w:t xml:space="preserve">w sprawie wymagań technicznych, warunków przyłączania oraz współpracy </w:t>
      </w:r>
      <w:proofErr w:type="spellStart"/>
      <w:r w:rsidR="00807BD4">
        <w:t>mikroinstalacji</w:t>
      </w:r>
      <w:proofErr w:type="spellEnd"/>
      <w:r w:rsidR="00807BD4">
        <w:t xml:space="preserve"> z systemem elektroenergetycznym (Dz.U. z 2021 r. poz. 2343)</w:t>
      </w:r>
    </w:p>
    <w:p w14:paraId="44DBE593" w14:textId="5B80B15C" w:rsidR="0068074C" w:rsidRPr="00CC2CFB" w:rsidRDefault="0023769D" w:rsidP="005B7C3F">
      <w:pPr>
        <w:pStyle w:val="NormalnyIRIESD"/>
      </w:pPr>
      <w:r w:rsidRPr="00CC2CFB">
        <w:t>oraz korekt redakcyjnych w tym m.in. aktualizacji numeracji publikatorów aktów prawnych.</w:t>
      </w:r>
    </w:p>
    <w:p w14:paraId="6DA98858" w14:textId="2BD3D154" w:rsidR="0023769D" w:rsidRDefault="0023769D" w:rsidP="004A5A0B">
      <w:pPr>
        <w:pStyle w:val="Numeracja1"/>
      </w:pPr>
      <w:r w:rsidRPr="004A5A0B">
        <w:t>Zakres zmian</w:t>
      </w:r>
      <w:r w:rsidRPr="00CC2CFB">
        <w:t xml:space="preserve"> </w:t>
      </w:r>
      <w:proofErr w:type="spellStart"/>
      <w:r w:rsidRPr="00CC2CFB">
        <w:t>IRiESD</w:t>
      </w:r>
      <w:proofErr w:type="spellEnd"/>
      <w:r w:rsidRPr="00CC2CFB">
        <w:t xml:space="preserve"> </w:t>
      </w:r>
    </w:p>
    <w:tbl>
      <w:tblPr>
        <w:tblStyle w:val="Tabela-Siatka"/>
        <w:tblW w:w="0" w:type="auto"/>
        <w:tblLook w:val="04A0" w:firstRow="1" w:lastRow="0" w:firstColumn="1" w:lastColumn="0" w:noHBand="0" w:noVBand="1"/>
      </w:tblPr>
      <w:tblGrid>
        <w:gridCol w:w="570"/>
        <w:gridCol w:w="4818"/>
        <w:gridCol w:w="4488"/>
      </w:tblGrid>
      <w:tr w:rsidR="00807E13" w14:paraId="3068600D" w14:textId="77777777" w:rsidTr="003737CB">
        <w:tc>
          <w:tcPr>
            <w:tcW w:w="570" w:type="dxa"/>
          </w:tcPr>
          <w:p w14:paraId="256E93E1" w14:textId="31A3C62D" w:rsidR="00807E13" w:rsidRDefault="008F4FC4" w:rsidP="008F4FC4">
            <w:pPr>
              <w:pStyle w:val="Nagwektabela"/>
            </w:pPr>
            <w:r>
              <w:t>Lp.</w:t>
            </w:r>
          </w:p>
        </w:tc>
        <w:tc>
          <w:tcPr>
            <w:tcW w:w="4818" w:type="dxa"/>
          </w:tcPr>
          <w:p w14:paraId="1E2BE4B9" w14:textId="128A0778" w:rsidR="00807E13" w:rsidRDefault="008F4FC4" w:rsidP="008F4FC4">
            <w:pPr>
              <w:pStyle w:val="Nagwektabela"/>
            </w:pPr>
            <w:r>
              <w:t xml:space="preserve">Rozdział </w:t>
            </w:r>
            <w:proofErr w:type="spellStart"/>
            <w:r>
              <w:t>IRiESD</w:t>
            </w:r>
            <w:proofErr w:type="spellEnd"/>
          </w:p>
        </w:tc>
        <w:tc>
          <w:tcPr>
            <w:tcW w:w="4488" w:type="dxa"/>
          </w:tcPr>
          <w:p w14:paraId="14F259B6" w14:textId="57B0410D" w:rsidR="00807E13" w:rsidRDefault="008F4FC4" w:rsidP="008F4FC4">
            <w:pPr>
              <w:pStyle w:val="Nagwektabela"/>
            </w:pPr>
            <w:r>
              <w:t>Zestawienie zmian</w:t>
            </w:r>
          </w:p>
        </w:tc>
      </w:tr>
      <w:tr w:rsidR="00807E13" w14:paraId="047FA5C6" w14:textId="77777777" w:rsidTr="003737CB">
        <w:tc>
          <w:tcPr>
            <w:tcW w:w="570" w:type="dxa"/>
          </w:tcPr>
          <w:p w14:paraId="2F39B0C2" w14:textId="1E6BF9F9" w:rsidR="00807E13" w:rsidRDefault="008F4FC4" w:rsidP="00807E13">
            <w:r>
              <w:t>1.</w:t>
            </w:r>
          </w:p>
        </w:tc>
        <w:tc>
          <w:tcPr>
            <w:tcW w:w="4818" w:type="dxa"/>
          </w:tcPr>
          <w:p w14:paraId="533EDABE" w14:textId="78CD88B8" w:rsidR="00807E13" w:rsidRDefault="008F4FC4" w:rsidP="00E210DF">
            <w:pPr>
              <w:pStyle w:val="Rzymskietabela"/>
            </w:pPr>
            <w:r>
              <w:t>KORZYSTANIE Z SYSTEMU ELEKTROENERGETYCZNEGO</w:t>
            </w:r>
          </w:p>
        </w:tc>
        <w:tc>
          <w:tcPr>
            <w:tcW w:w="4488" w:type="dxa"/>
          </w:tcPr>
          <w:p w14:paraId="6BDD1AB1" w14:textId="77777777" w:rsidR="003067D9" w:rsidRDefault="003067D9" w:rsidP="003067D9">
            <w:pPr>
              <w:pStyle w:val="podkrelonytabela"/>
            </w:pPr>
            <w:r>
              <w:t>Zmianie ulegają punkty:</w:t>
            </w:r>
          </w:p>
          <w:p w14:paraId="1C55D8F6" w14:textId="77777777" w:rsidR="003067D9" w:rsidRDefault="003067D9" w:rsidP="003067D9">
            <w:pPr>
              <w:pStyle w:val="normalnytabela"/>
            </w:pPr>
            <w:r>
              <w:t>I.1.8., I.1.20, I.1.22., I.3.2.</w:t>
            </w:r>
          </w:p>
          <w:p w14:paraId="24711522" w14:textId="77777777" w:rsidR="003067D9" w:rsidRDefault="003067D9" w:rsidP="003067D9">
            <w:pPr>
              <w:pStyle w:val="podkrelonytabela"/>
            </w:pPr>
            <w:r>
              <w:t>Dodano nowe punkty:</w:t>
            </w:r>
          </w:p>
          <w:p w14:paraId="2D5A83D1" w14:textId="214482EF" w:rsidR="008F4FC4" w:rsidRDefault="003067D9" w:rsidP="003067D9">
            <w:pPr>
              <w:pStyle w:val="normalnytabela"/>
            </w:pPr>
            <w:r>
              <w:t>I.4.5., I.4.6., I.4.7., I.4.8., I.5.</w:t>
            </w:r>
          </w:p>
        </w:tc>
      </w:tr>
      <w:tr w:rsidR="00807E13" w14:paraId="495998E9" w14:textId="77777777" w:rsidTr="003737CB">
        <w:tc>
          <w:tcPr>
            <w:tcW w:w="570" w:type="dxa"/>
          </w:tcPr>
          <w:p w14:paraId="30073CED" w14:textId="4AFE8843" w:rsidR="00807E13" w:rsidRDefault="008F4FC4" w:rsidP="00807E13">
            <w:r>
              <w:t>2.</w:t>
            </w:r>
          </w:p>
        </w:tc>
        <w:tc>
          <w:tcPr>
            <w:tcW w:w="4818" w:type="dxa"/>
          </w:tcPr>
          <w:p w14:paraId="20B91914" w14:textId="58212C20" w:rsidR="00E64DA0" w:rsidRDefault="008F4FC4" w:rsidP="00817551">
            <w:pPr>
              <w:pStyle w:val="Rzymskietabela"/>
            </w:pPr>
            <w:r>
              <w:t>PRZYŁĄCZANIE ORAZ PLANOWANIE</w:t>
            </w:r>
            <w:r w:rsidR="00E210DF">
              <w:t xml:space="preserve"> </w:t>
            </w:r>
            <w:r>
              <w:t>ROZWOJU SIECI DYSTRYBUCYJNEJ</w:t>
            </w:r>
            <w:r w:rsidR="00E210DF">
              <w:t xml:space="preserve"> </w:t>
            </w:r>
            <w:r w:rsidR="00621710">
              <w:t>OSD</w:t>
            </w:r>
          </w:p>
        </w:tc>
        <w:tc>
          <w:tcPr>
            <w:tcW w:w="4488" w:type="dxa"/>
          </w:tcPr>
          <w:p w14:paraId="0F32CB1E" w14:textId="77777777" w:rsidR="003067D9" w:rsidRDefault="003067D9" w:rsidP="003067D9">
            <w:pPr>
              <w:pStyle w:val="podkrelonytabela"/>
            </w:pPr>
            <w:r>
              <w:t>Zmianie ulegają punkty:</w:t>
            </w:r>
          </w:p>
          <w:p w14:paraId="7803EAF4" w14:textId="2AA6E41D" w:rsidR="00807E13" w:rsidRDefault="003067D9" w:rsidP="003067D9">
            <w:pPr>
              <w:pStyle w:val="normalnytabela"/>
            </w:pPr>
            <w:r>
              <w:t>II.1.2., II.1.20., II.3.2.9.</w:t>
            </w:r>
          </w:p>
        </w:tc>
      </w:tr>
      <w:tr w:rsidR="00807E13" w14:paraId="2C6E3DEF" w14:textId="77777777" w:rsidTr="003737CB">
        <w:tc>
          <w:tcPr>
            <w:tcW w:w="570" w:type="dxa"/>
          </w:tcPr>
          <w:p w14:paraId="0D4C0FAB" w14:textId="1B947CDC" w:rsidR="00807E13" w:rsidRDefault="008F4FC4" w:rsidP="00807E13">
            <w:r>
              <w:t>3.</w:t>
            </w:r>
          </w:p>
        </w:tc>
        <w:tc>
          <w:tcPr>
            <w:tcW w:w="4818" w:type="dxa"/>
          </w:tcPr>
          <w:p w14:paraId="4311C461" w14:textId="77777777" w:rsidR="00E210DF" w:rsidRPr="00E210DF" w:rsidRDefault="00E210DF" w:rsidP="00817551">
            <w:pPr>
              <w:pStyle w:val="Akapitzlist"/>
              <w:numPr>
                <w:ilvl w:val="0"/>
                <w:numId w:val="23"/>
              </w:numPr>
              <w:ind w:left="527" w:hanging="357"/>
              <w:contextualSpacing w:val="0"/>
              <w:jc w:val="left"/>
              <w:rPr>
                <w:vanish/>
              </w:rPr>
            </w:pPr>
          </w:p>
          <w:p w14:paraId="3A01D19D" w14:textId="0F0BF54D" w:rsidR="00807E13" w:rsidRDefault="00E64DA0" w:rsidP="00817551">
            <w:pPr>
              <w:pStyle w:val="Rzymskietabela"/>
            </w:pPr>
            <w:r>
              <w:t>BEZPIECZEŃSTWO FUNKCJONOWANIA SYSTEMU ELEKTROENERGETYCZNEGO</w:t>
            </w:r>
          </w:p>
        </w:tc>
        <w:tc>
          <w:tcPr>
            <w:tcW w:w="4488" w:type="dxa"/>
          </w:tcPr>
          <w:p w14:paraId="08480AE5" w14:textId="77777777" w:rsidR="003067D9" w:rsidRDefault="003067D9" w:rsidP="003067D9">
            <w:pPr>
              <w:pStyle w:val="podkrelonytabela"/>
            </w:pPr>
            <w:r>
              <w:t>Zmianie ulegają punkty:</w:t>
            </w:r>
          </w:p>
          <w:p w14:paraId="72D33A3D" w14:textId="4ED6AF95" w:rsidR="00807E13" w:rsidRDefault="003067D9" w:rsidP="003067D9">
            <w:pPr>
              <w:pStyle w:val="normalnytabela"/>
            </w:pPr>
            <w:r>
              <w:t>IV.3.1.1., IV.3.2., IV.3.3.3., IV.3.4.3.</w:t>
            </w:r>
          </w:p>
        </w:tc>
      </w:tr>
      <w:tr w:rsidR="00E64DA0" w14:paraId="59876B12" w14:textId="77777777" w:rsidTr="003737CB">
        <w:tc>
          <w:tcPr>
            <w:tcW w:w="570" w:type="dxa"/>
          </w:tcPr>
          <w:p w14:paraId="5A506838" w14:textId="7CFC1F66" w:rsidR="00E64DA0" w:rsidRDefault="00E64DA0" w:rsidP="00807E13">
            <w:r>
              <w:t>4.</w:t>
            </w:r>
          </w:p>
        </w:tc>
        <w:tc>
          <w:tcPr>
            <w:tcW w:w="4818" w:type="dxa"/>
          </w:tcPr>
          <w:p w14:paraId="59BB049C" w14:textId="1A2847ED" w:rsidR="00E64DA0" w:rsidRPr="00E210DF" w:rsidRDefault="00E64DA0" w:rsidP="007C3679">
            <w:pPr>
              <w:pStyle w:val="Rzymskietabela"/>
              <w:rPr>
                <w:vanish/>
              </w:rPr>
            </w:pPr>
            <w:r>
              <w:t>WSPÓŁPRACA OSD Z INNYMI OPERATORAMI I PRZEKAZYWANIE INFORMACJI POMIĘDZY OPERATORAMI ORAZ OPERATORAMI A UŻYTKOWNIKAMI SYSTEMU</w:t>
            </w:r>
          </w:p>
        </w:tc>
        <w:tc>
          <w:tcPr>
            <w:tcW w:w="4488" w:type="dxa"/>
          </w:tcPr>
          <w:p w14:paraId="5974739B" w14:textId="77777777" w:rsidR="00E64DA0" w:rsidRDefault="00E64DA0" w:rsidP="000355AD">
            <w:pPr>
              <w:pStyle w:val="podkrelonytabela"/>
            </w:pPr>
            <w:r>
              <w:t>Zmianie ulega punkt:</w:t>
            </w:r>
          </w:p>
          <w:p w14:paraId="76ACAD75" w14:textId="1F531977" w:rsidR="00E64DA0" w:rsidRDefault="00E64DA0" w:rsidP="00E64DA0">
            <w:pPr>
              <w:pStyle w:val="normalnytabela"/>
            </w:pPr>
            <w:r>
              <w:t>V.7.</w:t>
            </w:r>
          </w:p>
        </w:tc>
      </w:tr>
      <w:tr w:rsidR="00807E13" w14:paraId="29D5EDDD" w14:textId="77777777" w:rsidTr="003737CB">
        <w:tc>
          <w:tcPr>
            <w:tcW w:w="570" w:type="dxa"/>
          </w:tcPr>
          <w:p w14:paraId="0FE1DA87" w14:textId="6763182B" w:rsidR="00807E13" w:rsidRDefault="008F4FC4" w:rsidP="00807E13">
            <w:r>
              <w:t>5.</w:t>
            </w:r>
          </w:p>
        </w:tc>
        <w:tc>
          <w:tcPr>
            <w:tcW w:w="4818" w:type="dxa"/>
          </w:tcPr>
          <w:p w14:paraId="668920D1" w14:textId="7D18DBC2" w:rsidR="00807E13" w:rsidRDefault="008F4FC4" w:rsidP="007C3679">
            <w:pPr>
              <w:pStyle w:val="Atabela"/>
              <w:ind w:left="482" w:hanging="425"/>
            </w:pPr>
            <w:r w:rsidRPr="008F4FC4">
              <w:t>POSTANOWIENIA WSTĘPNE</w:t>
            </w:r>
          </w:p>
        </w:tc>
        <w:tc>
          <w:tcPr>
            <w:tcW w:w="4488" w:type="dxa"/>
          </w:tcPr>
          <w:p w14:paraId="0E82F822" w14:textId="77777777" w:rsidR="003067D9" w:rsidRDefault="003067D9" w:rsidP="003067D9">
            <w:pPr>
              <w:pStyle w:val="podkrelonytabela"/>
            </w:pPr>
            <w:r>
              <w:t>Zmianie ulegają punkty:</w:t>
            </w:r>
          </w:p>
          <w:p w14:paraId="5175E879" w14:textId="18BEF807" w:rsidR="003067D9" w:rsidRPr="00E64DA0" w:rsidRDefault="003067D9" w:rsidP="003067D9">
            <w:pPr>
              <w:pStyle w:val="normalnytabela"/>
            </w:pPr>
            <w:r w:rsidRPr="00E64DA0">
              <w:t>A.2.1., A.3.</w:t>
            </w:r>
            <w:r>
              <w:t>6</w:t>
            </w:r>
            <w:r w:rsidRPr="00E64DA0">
              <w:t>.</w:t>
            </w:r>
            <w:r w:rsidR="009606ED">
              <w:t>, A.7.2, A.8.2.</w:t>
            </w:r>
          </w:p>
          <w:p w14:paraId="0BAFBB51" w14:textId="77777777" w:rsidR="003067D9" w:rsidRDefault="003067D9" w:rsidP="003067D9">
            <w:pPr>
              <w:pStyle w:val="normalnytabela"/>
              <w:rPr>
                <w:u w:val="single"/>
              </w:rPr>
            </w:pPr>
            <w:r w:rsidRPr="00E64DA0">
              <w:rPr>
                <w:u w:val="single"/>
              </w:rPr>
              <w:t>Usunięto punkty:</w:t>
            </w:r>
          </w:p>
          <w:p w14:paraId="35BCDF79" w14:textId="6FB1C3A7" w:rsidR="00E64DA0" w:rsidRPr="00E64DA0" w:rsidRDefault="003067D9" w:rsidP="003067D9">
            <w:pPr>
              <w:pStyle w:val="normalnytabela"/>
            </w:pPr>
            <w:r>
              <w:t>A.3.14., A.11.</w:t>
            </w:r>
          </w:p>
        </w:tc>
      </w:tr>
      <w:tr w:rsidR="00807E13" w14:paraId="60E7C3AE" w14:textId="77777777" w:rsidTr="003737CB">
        <w:tc>
          <w:tcPr>
            <w:tcW w:w="570" w:type="dxa"/>
          </w:tcPr>
          <w:p w14:paraId="013F3237" w14:textId="042730C3" w:rsidR="00807E13" w:rsidRDefault="006C36C2" w:rsidP="00807E13">
            <w:r>
              <w:t>6</w:t>
            </w:r>
            <w:r w:rsidR="008F4FC4">
              <w:t>.</w:t>
            </w:r>
          </w:p>
        </w:tc>
        <w:tc>
          <w:tcPr>
            <w:tcW w:w="4818" w:type="dxa"/>
          </w:tcPr>
          <w:p w14:paraId="70762006" w14:textId="168D3B55" w:rsidR="00807E13" w:rsidRDefault="008F4FC4" w:rsidP="00817551">
            <w:pPr>
              <w:pStyle w:val="Atabela"/>
              <w:numPr>
                <w:ilvl w:val="0"/>
                <w:numId w:val="39"/>
              </w:numPr>
              <w:ind w:left="417"/>
            </w:pPr>
            <w:r>
              <w:t>PROCEDURA ZMIANY SPRZEDAWCY</w:t>
            </w:r>
            <w:r w:rsidR="00E210DF">
              <w:t xml:space="preserve"> </w:t>
            </w:r>
            <w:r>
              <w:t>ORAZ ZASADY UDZIELANIA</w:t>
            </w:r>
            <w:r w:rsidR="00E210DF">
              <w:t xml:space="preserve"> </w:t>
            </w:r>
            <w:r>
              <w:t>INFORMACJI I OBSŁUGI ODBIORCÓW</w:t>
            </w:r>
          </w:p>
        </w:tc>
        <w:tc>
          <w:tcPr>
            <w:tcW w:w="4488" w:type="dxa"/>
          </w:tcPr>
          <w:p w14:paraId="77A3C6B0" w14:textId="77777777" w:rsidR="003067D9" w:rsidRDefault="003067D9" w:rsidP="003067D9">
            <w:pPr>
              <w:pStyle w:val="podkrelonytabela"/>
            </w:pPr>
            <w:r>
              <w:t>Zmianie ulegają punkty:</w:t>
            </w:r>
          </w:p>
          <w:p w14:paraId="7EB78149" w14:textId="610A4512" w:rsidR="00807E13" w:rsidRDefault="003067D9" w:rsidP="003067D9">
            <w:pPr>
              <w:pStyle w:val="normalnytabela"/>
            </w:pPr>
            <w:r>
              <w:t>D.3.6.</w:t>
            </w:r>
          </w:p>
        </w:tc>
      </w:tr>
      <w:tr w:rsidR="00807E13" w14:paraId="78144690" w14:textId="77777777" w:rsidTr="003737CB">
        <w:tc>
          <w:tcPr>
            <w:tcW w:w="570" w:type="dxa"/>
          </w:tcPr>
          <w:p w14:paraId="364AD549" w14:textId="320692D1" w:rsidR="00807E13" w:rsidRDefault="006C36C2" w:rsidP="00807E13">
            <w:r>
              <w:t>7</w:t>
            </w:r>
            <w:r w:rsidR="008F4FC4">
              <w:t>.</w:t>
            </w:r>
          </w:p>
        </w:tc>
        <w:tc>
          <w:tcPr>
            <w:tcW w:w="4818" w:type="dxa"/>
          </w:tcPr>
          <w:p w14:paraId="6FE51AA6" w14:textId="6E608488" w:rsidR="00807E13" w:rsidRDefault="007C3679" w:rsidP="00817551">
            <w:pPr>
              <w:pStyle w:val="Atabela"/>
              <w:numPr>
                <w:ilvl w:val="0"/>
                <w:numId w:val="40"/>
              </w:numPr>
              <w:ind w:left="417"/>
            </w:pPr>
            <w:r>
              <w:t>ZASADY WYZNACZANIA, PRZYDZIELANIA I WERYFIKACJI STANDARDOWYCH PROFILI ZUŻYCIA</w:t>
            </w:r>
          </w:p>
        </w:tc>
        <w:tc>
          <w:tcPr>
            <w:tcW w:w="4488" w:type="dxa"/>
          </w:tcPr>
          <w:p w14:paraId="6C7FF695" w14:textId="77777777" w:rsidR="008F4FC4" w:rsidRDefault="008F4FC4" w:rsidP="000355AD">
            <w:pPr>
              <w:pStyle w:val="podkrelonytabela"/>
            </w:pPr>
            <w:r>
              <w:t>Zmianie ulegają punkty:</w:t>
            </w:r>
          </w:p>
          <w:p w14:paraId="433C36EF" w14:textId="78B81D44" w:rsidR="00807E13" w:rsidRDefault="007C3679" w:rsidP="000355AD">
            <w:pPr>
              <w:pStyle w:val="normalnytabela"/>
            </w:pPr>
            <w:r>
              <w:t>G., G.1.</w:t>
            </w:r>
          </w:p>
        </w:tc>
      </w:tr>
      <w:tr w:rsidR="00807E13" w14:paraId="4F554CF0" w14:textId="77777777" w:rsidTr="003737CB">
        <w:tc>
          <w:tcPr>
            <w:tcW w:w="570" w:type="dxa"/>
          </w:tcPr>
          <w:p w14:paraId="3CE3F70D" w14:textId="17FD6C2B" w:rsidR="00807E13" w:rsidRDefault="006C36C2" w:rsidP="00807E13">
            <w:r>
              <w:t>8</w:t>
            </w:r>
            <w:r w:rsidR="008F4FC4">
              <w:t>.</w:t>
            </w:r>
          </w:p>
        </w:tc>
        <w:tc>
          <w:tcPr>
            <w:tcW w:w="4818" w:type="dxa"/>
          </w:tcPr>
          <w:p w14:paraId="3F906B23" w14:textId="77777777" w:rsidR="00E210DF" w:rsidRDefault="008F4FC4" w:rsidP="00E210DF">
            <w:pPr>
              <w:pStyle w:val="normalnytabela"/>
            </w:pPr>
            <w:r>
              <w:t>SŁOWNIK SKRÓTÓW I DEFINICJI</w:t>
            </w:r>
            <w:r w:rsidR="00E210DF">
              <w:t xml:space="preserve"> </w:t>
            </w:r>
          </w:p>
          <w:p w14:paraId="10898791" w14:textId="5432E538" w:rsidR="00807E13" w:rsidRDefault="008F4FC4" w:rsidP="00E210DF">
            <w:pPr>
              <w:pStyle w:val="normalnytabela"/>
            </w:pPr>
            <w:r>
              <w:t>pkt 1. Oznaczenia skrótów</w:t>
            </w:r>
          </w:p>
        </w:tc>
        <w:tc>
          <w:tcPr>
            <w:tcW w:w="4488" w:type="dxa"/>
          </w:tcPr>
          <w:p w14:paraId="6EC40E25" w14:textId="77777777" w:rsidR="008F4FC4" w:rsidRDefault="008F4FC4" w:rsidP="000355AD">
            <w:pPr>
              <w:pStyle w:val="podkrelonytabela"/>
            </w:pPr>
            <w:r>
              <w:t>Dodano nowe skróty:</w:t>
            </w:r>
          </w:p>
          <w:p w14:paraId="31EB7087" w14:textId="36D5E8C3" w:rsidR="008F4FC4" w:rsidRDefault="008F4FC4" w:rsidP="000355AD">
            <w:pPr>
              <w:pStyle w:val="normalnytabela"/>
            </w:pPr>
            <w:r>
              <w:t>„</w:t>
            </w:r>
            <w:r w:rsidR="006C36C2">
              <w:t>LZO</w:t>
            </w:r>
            <w:r>
              <w:t>”, „</w:t>
            </w:r>
            <w:r w:rsidR="006C36C2">
              <w:t>Prosument zbiorowy</w:t>
            </w:r>
            <w:r>
              <w:t>”</w:t>
            </w:r>
          </w:p>
          <w:p w14:paraId="3048ADE1" w14:textId="474F5E20" w:rsidR="008F4FC4" w:rsidRDefault="008F4FC4" w:rsidP="000355AD">
            <w:pPr>
              <w:pStyle w:val="podkrelonytabela"/>
            </w:pPr>
            <w:r>
              <w:t>Usunięto skrót</w:t>
            </w:r>
            <w:r w:rsidR="006C36C2">
              <w:t>y</w:t>
            </w:r>
            <w:r>
              <w:t>:</w:t>
            </w:r>
          </w:p>
          <w:p w14:paraId="072270FD" w14:textId="7AEDCF32" w:rsidR="00807E13" w:rsidRDefault="008F4FC4" w:rsidP="000355AD">
            <w:pPr>
              <w:pStyle w:val="normalnytabela"/>
            </w:pPr>
            <w:r>
              <w:t>„</w:t>
            </w:r>
            <w:r w:rsidR="006C36C2">
              <w:t>CSWI</w:t>
            </w:r>
            <w:r>
              <w:t>”</w:t>
            </w:r>
            <w:r w:rsidR="006C36C2">
              <w:t>, „DUŁ”</w:t>
            </w:r>
          </w:p>
        </w:tc>
      </w:tr>
      <w:tr w:rsidR="00807E13" w14:paraId="3536454F" w14:textId="77777777" w:rsidTr="003737CB">
        <w:tc>
          <w:tcPr>
            <w:tcW w:w="570" w:type="dxa"/>
          </w:tcPr>
          <w:p w14:paraId="1675616A" w14:textId="1FF57792" w:rsidR="00807E13" w:rsidRDefault="006C36C2" w:rsidP="00807E13">
            <w:r>
              <w:t>9</w:t>
            </w:r>
            <w:r w:rsidR="008F4FC4">
              <w:t>.</w:t>
            </w:r>
          </w:p>
        </w:tc>
        <w:tc>
          <w:tcPr>
            <w:tcW w:w="4818" w:type="dxa"/>
          </w:tcPr>
          <w:p w14:paraId="1A41F81A" w14:textId="77777777" w:rsidR="008F4FC4" w:rsidRDefault="008F4FC4" w:rsidP="00E210DF">
            <w:pPr>
              <w:pStyle w:val="normalnytabela"/>
            </w:pPr>
            <w:r>
              <w:t>SŁOWNIK SKRÓTÓW I DEFINICJI</w:t>
            </w:r>
          </w:p>
          <w:p w14:paraId="3026EB43" w14:textId="6FD7CB38" w:rsidR="00807E13" w:rsidRDefault="008F4FC4" w:rsidP="00E210DF">
            <w:pPr>
              <w:pStyle w:val="normalnytabela"/>
            </w:pPr>
            <w:r>
              <w:t>pkt 2. Pojęcia i definicje</w:t>
            </w:r>
          </w:p>
        </w:tc>
        <w:tc>
          <w:tcPr>
            <w:tcW w:w="4488" w:type="dxa"/>
          </w:tcPr>
          <w:p w14:paraId="36DEF78C" w14:textId="77777777" w:rsidR="008F4FC4" w:rsidRDefault="008F4FC4" w:rsidP="000355AD">
            <w:pPr>
              <w:pStyle w:val="podkrelonytabela"/>
            </w:pPr>
            <w:r>
              <w:t>Zmieniono definicje:</w:t>
            </w:r>
          </w:p>
          <w:p w14:paraId="1D084D50" w14:textId="567B0430" w:rsidR="008F4FC4" w:rsidRDefault="008F4FC4" w:rsidP="000355AD">
            <w:pPr>
              <w:pStyle w:val="normalnytabela"/>
            </w:pPr>
            <w:r>
              <w:t>„</w:t>
            </w:r>
            <w:r w:rsidR="006C36C2">
              <w:t>Licznik zdalnego odczytu</w:t>
            </w:r>
            <w:r>
              <w:t>”</w:t>
            </w:r>
            <w:r w:rsidR="006C36C2">
              <w:t>, „Magazyn energii elektrycznej”, „Mała instalacja”, „Odbiorca końcowy”, „Przedsiębiorstwo energetyczne”, „Punkt poboru energii”, „Układ pomiarowo-rozliczeniowy</w:t>
            </w:r>
            <w:proofErr w:type="gramStart"/>
            <w:r w:rsidR="006C36C2">
              <w:t>”.</w:t>
            </w:r>
            <w:r>
              <w:t>.</w:t>
            </w:r>
            <w:proofErr w:type="gramEnd"/>
          </w:p>
          <w:p w14:paraId="628AC350" w14:textId="77777777" w:rsidR="008F4FC4" w:rsidRDefault="008F4FC4" w:rsidP="000355AD">
            <w:pPr>
              <w:pStyle w:val="podkrelonytabela"/>
            </w:pPr>
            <w:r>
              <w:t>Dodano definicje:</w:t>
            </w:r>
          </w:p>
          <w:p w14:paraId="07B24389" w14:textId="77777777" w:rsidR="00F4234E" w:rsidRDefault="008F4FC4" w:rsidP="000355AD">
            <w:pPr>
              <w:pStyle w:val="normalnytabela"/>
            </w:pPr>
            <w:r>
              <w:t>„</w:t>
            </w:r>
            <w:r w:rsidR="006C36C2">
              <w:t>Dane pomiarowe</w:t>
            </w:r>
            <w:r>
              <w:t>”</w:t>
            </w:r>
            <w:r w:rsidR="006C36C2">
              <w:t xml:space="preserve">, „Licznika konwencjonalny”, „Licznik/Licznik energii elektrycznej”, „Magazynowanie energii elektrycznej”, „Moc zainstalowana elektryczna instalacji odnawialnego źródła energii”, „Obiekt”, „Odbiorca wrażliwy energii elektrycznej”, </w:t>
            </w:r>
            <w:proofErr w:type="gramStart"/>
            <w:r w:rsidR="006C36C2">
              <w:t>„”Prosument</w:t>
            </w:r>
            <w:proofErr w:type="gramEnd"/>
            <w:r w:rsidR="006C36C2">
              <w:t xml:space="preserve"> zbiorowy energii odnawialnej”, „Punkt pomiarowy”</w:t>
            </w:r>
            <w:r w:rsidR="00F4234E">
              <w:t>, „</w:t>
            </w:r>
            <w:proofErr w:type="spellStart"/>
            <w:r w:rsidR="00F4234E">
              <w:t>Statyzm</w:t>
            </w:r>
            <w:proofErr w:type="spellEnd"/>
            <w:r w:rsidR="00F4234E">
              <w:t>”, „System informacyjny”, „System zdalnego odczytu”, „Tryb LFSM-O”, „Tryb LFSM-U”, „Zagregowane dane pomiarowe”.</w:t>
            </w:r>
          </w:p>
          <w:p w14:paraId="443E36EE" w14:textId="77777777" w:rsidR="00F4234E" w:rsidRDefault="00F4234E" w:rsidP="000355AD">
            <w:pPr>
              <w:pStyle w:val="normalnytabela"/>
            </w:pPr>
            <w:r w:rsidRPr="00F4234E">
              <w:rPr>
                <w:u w:val="single"/>
              </w:rPr>
              <w:t>Usunięto definicję</w:t>
            </w:r>
            <w:r>
              <w:t>:</w:t>
            </w:r>
          </w:p>
          <w:p w14:paraId="601C3551" w14:textId="36F0D65A" w:rsidR="00807E13" w:rsidRDefault="00F4234E" w:rsidP="000355AD">
            <w:pPr>
              <w:pStyle w:val="normalnytabela"/>
            </w:pPr>
            <w:r>
              <w:t>„Dostawca usług ładowania”</w:t>
            </w:r>
            <w:r w:rsidR="008F4FC4">
              <w:t>.</w:t>
            </w:r>
          </w:p>
        </w:tc>
      </w:tr>
    </w:tbl>
    <w:p w14:paraId="78124812" w14:textId="77777777" w:rsidR="00807E13" w:rsidRPr="00807E13" w:rsidRDefault="00807E13" w:rsidP="00807E13"/>
    <w:p w14:paraId="631A51EF" w14:textId="75590CC5" w:rsidR="0023769D" w:rsidRPr="00CC2CFB" w:rsidRDefault="0023769D" w:rsidP="004A5A0B">
      <w:pPr>
        <w:pStyle w:val="Numeracja1"/>
      </w:pPr>
      <w:r w:rsidRPr="00CC2CFB">
        <w:t xml:space="preserve">Nowe brzmienie zapisów </w:t>
      </w:r>
      <w:proofErr w:type="spellStart"/>
      <w:r w:rsidRPr="00CC2CFB">
        <w:t>IRiESD</w:t>
      </w:r>
      <w:proofErr w:type="spellEnd"/>
      <w:r w:rsidRPr="00CC2CFB">
        <w:t xml:space="preserve">: </w:t>
      </w:r>
    </w:p>
    <w:p w14:paraId="74C7E242" w14:textId="0F104CBC" w:rsidR="00526391" w:rsidRDefault="0023769D" w:rsidP="0091646E">
      <w:pPr>
        <w:pStyle w:val="pierwszy"/>
      </w:pPr>
      <w:r w:rsidRPr="00CC2CFB">
        <w:t>W pu</w:t>
      </w:r>
      <w:r w:rsidR="00807BD4">
        <w:t>nkcie I.1.8. dodaje się podpunkt 1</w:t>
      </w:r>
      <w:r w:rsidR="007F6FAE">
        <w:t>3</w:t>
      </w:r>
      <w:r w:rsidR="00807BD4">
        <w:t>) w brzmieniu</w:t>
      </w:r>
      <w:r w:rsidRPr="00CC2CFB">
        <w:t xml:space="preserve">: </w:t>
      </w:r>
    </w:p>
    <w:p w14:paraId="0B8287CC" w14:textId="1ACE638D" w:rsidR="00807BD4" w:rsidRPr="00807BD4" w:rsidRDefault="00807BD4" w:rsidP="005B7C3F">
      <w:pPr>
        <w:pStyle w:val="NormalnyIRIESD"/>
      </w:pPr>
      <w:r>
        <w:t>„1</w:t>
      </w:r>
      <w:r w:rsidR="007F6FAE">
        <w:t>3</w:t>
      </w:r>
      <w:r>
        <w:t xml:space="preserve">) </w:t>
      </w:r>
      <w:r w:rsidR="00CB7729" w:rsidRPr="00CB7729">
        <w:t>prowadzenie rejestru magazynów energii elektrycznej przyłączonych do jego sieci, stanowiących jej część lub wchodzących w skład jednostki wytwórczej lub instalacji odbiorcy końcowego przyłączonej do jego sieci</w:t>
      </w:r>
      <w:r>
        <w:t>.”</w:t>
      </w:r>
    </w:p>
    <w:p w14:paraId="7D7DE189" w14:textId="3980CB86" w:rsidR="00C62551" w:rsidRDefault="00807BD4" w:rsidP="0091646E">
      <w:pPr>
        <w:pStyle w:val="pierwszy"/>
      </w:pPr>
      <w:r>
        <w:t>Punkt I.1.2</w:t>
      </w:r>
      <w:r w:rsidR="008F03B6">
        <w:t>0</w:t>
      </w:r>
      <w:r>
        <w:t>. otrzymuje brzmienie:</w:t>
      </w:r>
    </w:p>
    <w:p w14:paraId="3E3E89ED" w14:textId="0ACE4155" w:rsidR="00807BD4" w:rsidRPr="00807BD4" w:rsidRDefault="00807BD4" w:rsidP="005B7C3F">
      <w:pPr>
        <w:pStyle w:val="NormalnyIRIESD"/>
      </w:pPr>
      <w:r>
        <w:t>„</w:t>
      </w:r>
      <w:r w:rsidR="00CB7729" w:rsidRPr="00CB7729">
        <w:t xml:space="preserve">Okres przewidziany na konsultacje nie może być krótszy niż miesiąc od dnia opublikowania projektu nowej </w:t>
      </w:r>
      <w:proofErr w:type="spellStart"/>
      <w:r w:rsidR="00CB7729" w:rsidRPr="00CB7729">
        <w:t>IRiESD</w:t>
      </w:r>
      <w:proofErr w:type="spellEnd"/>
      <w:r w:rsidR="00CB7729" w:rsidRPr="00CB7729">
        <w:t xml:space="preserve"> albo projektu Karty aktualizacji</w:t>
      </w:r>
      <w:r>
        <w:t>.”</w:t>
      </w:r>
    </w:p>
    <w:p w14:paraId="49CD9DB1" w14:textId="7B81BB74" w:rsidR="0023769D" w:rsidRDefault="008F03B6" w:rsidP="0091646E">
      <w:pPr>
        <w:pStyle w:val="pierwszy"/>
      </w:pPr>
      <w:r>
        <w:t>Punkt</w:t>
      </w:r>
      <w:r w:rsidR="00807BD4">
        <w:t xml:space="preserve"> I.1.2</w:t>
      </w:r>
      <w:r>
        <w:t>2</w:t>
      </w:r>
      <w:r w:rsidR="00807BD4">
        <w:t xml:space="preserve">. </w:t>
      </w:r>
      <w:r w:rsidR="00B644F3">
        <w:t xml:space="preserve">otrzymuje </w:t>
      </w:r>
      <w:r>
        <w:t xml:space="preserve">nowe </w:t>
      </w:r>
      <w:r w:rsidR="00B644F3">
        <w:t>brzmienie</w:t>
      </w:r>
      <w:r w:rsidR="0023769D" w:rsidRPr="00CC2CFB">
        <w:t xml:space="preserve">: </w:t>
      </w:r>
    </w:p>
    <w:p w14:paraId="4DF2183F" w14:textId="3497D59F" w:rsidR="0029036D" w:rsidRDefault="00B644F3" w:rsidP="005B7C3F">
      <w:pPr>
        <w:pStyle w:val="NormalnyIRIESD"/>
      </w:pPr>
      <w:r>
        <w:t>„</w:t>
      </w:r>
      <w:proofErr w:type="spellStart"/>
      <w:r w:rsidR="0029036D" w:rsidRPr="0029036D">
        <w:t>IRiESD</w:t>
      </w:r>
      <w:proofErr w:type="spellEnd"/>
      <w:r w:rsidR="0029036D" w:rsidRPr="0029036D">
        <w:t xml:space="preserve"> albo Kartę aktualizacji oraz Raport z procesu konsultacji, zawierający zestawienie otrzymanych uwag oraz informacje o sposobie ich uwzględnienia, OSD publikuje na swojej stronie internetowej</w:t>
      </w:r>
      <w:r w:rsidR="00A86DB4">
        <w:t>.</w:t>
      </w:r>
    </w:p>
    <w:p w14:paraId="54273288" w14:textId="3EC1019F" w:rsidR="00B644F3" w:rsidRDefault="00B644F3" w:rsidP="005B7C3F">
      <w:pPr>
        <w:pStyle w:val="NormalnyIRIESD"/>
      </w:pPr>
      <w:r>
        <w:t>Zatwierdzoną</w:t>
      </w:r>
      <w:r w:rsidR="0029036D">
        <w:t xml:space="preserve"> przez wewnętrzne organy OSD</w:t>
      </w:r>
      <w:r>
        <w:t xml:space="preserve"> </w:t>
      </w:r>
      <w:proofErr w:type="spellStart"/>
      <w:r>
        <w:t>IRiESD</w:t>
      </w:r>
      <w:proofErr w:type="spellEnd"/>
      <w:r>
        <w:t xml:space="preserve"> albo Kartę aktualizacji wraz z tekstem ujednoliconym </w:t>
      </w:r>
      <w:proofErr w:type="spellStart"/>
      <w:r>
        <w:t>IRiESD</w:t>
      </w:r>
      <w:proofErr w:type="spellEnd"/>
      <w:r>
        <w:t>, a także informację o dacie wejścia w życie wprowadzanych zmian IRESD, OSD publikuje na swojej stronie internetowej oraz udostępnia do publicznego wglądu w swojej siedzibie”.</w:t>
      </w:r>
    </w:p>
    <w:p w14:paraId="3CFF690C" w14:textId="3BD02232" w:rsidR="00B644F3" w:rsidRDefault="00B644F3" w:rsidP="00B644F3">
      <w:pPr>
        <w:pStyle w:val="pierwszy"/>
      </w:pPr>
      <w:r>
        <w:t>W punkcie I.3.2. podpunkt g) otrzymuje brzmienie:</w:t>
      </w:r>
    </w:p>
    <w:p w14:paraId="3ABC9BAD" w14:textId="190ABC3D" w:rsidR="00B644F3" w:rsidRPr="00B644F3" w:rsidRDefault="00B644F3" w:rsidP="00D078DA">
      <w:pPr>
        <w:pStyle w:val="NormalnyIRIESD"/>
      </w:pPr>
      <w:r>
        <w:t>„g) opracowuje, aktualizuje i udostępnia odbiorcom oraz ich sprzedawcom ich standardowe profile zużycia</w:t>
      </w:r>
      <w:r w:rsidR="00D078DA">
        <w:t xml:space="preserve"> (</w:t>
      </w:r>
      <w:r w:rsidR="00D078DA" w:rsidRPr="00D078DA">
        <w:t xml:space="preserve">dopuszcza się w uzasadnionych przypadkach korzystanie ze standardowych profili </w:t>
      </w:r>
      <w:proofErr w:type="spellStart"/>
      <w:r w:rsidR="00D078DA" w:rsidRPr="00D078DA">
        <w:t>OSDp</w:t>
      </w:r>
      <w:proofErr w:type="spellEnd"/>
      <w:r w:rsidR="00D078DA" w:rsidRPr="00D078DA">
        <w:t xml:space="preserve"> jeżeli OSD nie ma możliwości przy dochowaniu należytej staranności z uwagi na brak odpowiedniej ilości danych porównawczych samodzielnie opracować standardowe profile</w:t>
      </w:r>
      <w:proofErr w:type="gramStart"/>
      <w:r w:rsidR="00D078DA" w:rsidRPr="00D078DA">
        <w:t xml:space="preserve">) </w:t>
      </w:r>
      <w:r>
        <w:t>”</w:t>
      </w:r>
      <w:proofErr w:type="gramEnd"/>
      <w:r>
        <w:t>.</w:t>
      </w:r>
    </w:p>
    <w:p w14:paraId="3221C573" w14:textId="0CD35B78" w:rsidR="0023769D" w:rsidRPr="00CC2CFB" w:rsidRDefault="00B644F3" w:rsidP="0091646E">
      <w:pPr>
        <w:pStyle w:val="pierwszy"/>
      </w:pPr>
      <w:r>
        <w:t xml:space="preserve">Dodaje się nowe punkty I.4.5., I.4.6., I.4.7. oraz I.4.8. o </w:t>
      </w:r>
      <w:proofErr w:type="gramStart"/>
      <w:r>
        <w:t>treści:</w:t>
      </w:r>
      <w:r w:rsidR="0023769D" w:rsidRPr="00CC2CFB">
        <w:t>:</w:t>
      </w:r>
      <w:proofErr w:type="gramEnd"/>
      <w:r w:rsidR="0023769D" w:rsidRPr="00CC2CFB">
        <w:t xml:space="preserve"> </w:t>
      </w:r>
    </w:p>
    <w:p w14:paraId="54A0A86A" w14:textId="47591B86" w:rsidR="0023769D" w:rsidRPr="00CC2CFB" w:rsidRDefault="00B644F3" w:rsidP="005B7C3F">
      <w:pPr>
        <w:pStyle w:val="NormalnyIRIESD"/>
      </w:pPr>
      <w:bookmarkStart w:id="1" w:name="_Hlk99094757"/>
      <w:r>
        <w:t xml:space="preserve">„I.4.5. Odbiorca końcowy przyłączony do sieci o napięciu znamionowym nie wyższym niż 1 </w:t>
      </w:r>
      <w:proofErr w:type="spellStart"/>
      <w:r>
        <w:t>kV</w:t>
      </w:r>
      <w:proofErr w:type="spellEnd"/>
      <w:r>
        <w:t xml:space="preserve"> oraz odbiorca końcowy i wytwórca energii elektrycznej należący do spółdzielni energetycznej w</w:t>
      </w:r>
      <w:r w:rsidR="00A35910">
        <w:t> </w:t>
      </w:r>
      <w:r>
        <w:t>rozumieniu art. 2 pkt 33a Ustawy OZE, mogą wystąpić z wnioskiem do OSD o</w:t>
      </w:r>
      <w:r w:rsidR="0023769D" w:rsidRPr="00CC2CFB">
        <w:t>:</w:t>
      </w:r>
      <w:bookmarkEnd w:id="1"/>
      <w:r w:rsidR="0023769D" w:rsidRPr="00CC2CFB">
        <w:t xml:space="preserve"> </w:t>
      </w:r>
    </w:p>
    <w:p w14:paraId="3269C9F8" w14:textId="4E8D8CB4" w:rsidR="0023769D" w:rsidRPr="00CC2CFB" w:rsidRDefault="00B644F3" w:rsidP="002767D8">
      <w:pPr>
        <w:pStyle w:val="drugi"/>
        <w:numPr>
          <w:ilvl w:val="0"/>
          <w:numId w:val="4"/>
        </w:numPr>
      </w:pPr>
      <w:bookmarkStart w:id="2" w:name="_Hlk99094774"/>
      <w:r>
        <w:t>zainstalowanie licznika zdalnego odczytu</w:t>
      </w:r>
      <w:r w:rsidR="00F3239B">
        <w:t>,</w:t>
      </w:r>
      <w:bookmarkEnd w:id="2"/>
      <w:r w:rsidR="0023769D" w:rsidRPr="00CC2CFB">
        <w:t xml:space="preserve"> </w:t>
      </w:r>
    </w:p>
    <w:p w14:paraId="1F75F24F" w14:textId="27B0736B" w:rsidR="0023769D" w:rsidRPr="00CC2CFB" w:rsidRDefault="00B644F3" w:rsidP="0052034A">
      <w:pPr>
        <w:pStyle w:val="drugi"/>
      </w:pPr>
      <w:bookmarkStart w:id="3" w:name="_Hlk99094797"/>
      <w:r>
        <w:t>umożliwienie komunikacji licznika zdalnego odczytu z urządzeniami tego odbiorcy, o ile spełniają one wymagania określone w Ustawie i przepisach wydanych na jej podstawie</w:t>
      </w:r>
      <w:r w:rsidR="0023769D" w:rsidRPr="00CC2CFB">
        <w:t>,</w:t>
      </w:r>
      <w:bookmarkEnd w:id="3"/>
      <w:r w:rsidR="0023769D" w:rsidRPr="00CC2CFB">
        <w:t xml:space="preserve"> </w:t>
      </w:r>
    </w:p>
    <w:p w14:paraId="6029FCC9" w14:textId="0431E73B" w:rsidR="00980FDE" w:rsidRDefault="00B644F3" w:rsidP="0052034A">
      <w:pPr>
        <w:pStyle w:val="drugi"/>
      </w:pPr>
      <w:bookmarkStart w:id="4" w:name="_Hlk99094808"/>
      <w:r>
        <w:t xml:space="preserve">wyposażenie punktu ładowania w rozumieniu art. 2 pkt 17 ustawy o </w:t>
      </w:r>
      <w:proofErr w:type="spellStart"/>
      <w:r>
        <w:t>elektromobilności</w:t>
      </w:r>
      <w:proofErr w:type="spellEnd"/>
      <w:r>
        <w:t xml:space="preserve"> należącego do odbiorcy końcowego w licznik zdalnego odcz</w:t>
      </w:r>
      <w:r w:rsidR="00277F87">
        <w:t>y</w:t>
      </w:r>
      <w:r>
        <w:t>t</w:t>
      </w:r>
      <w:r w:rsidR="00277F87">
        <w:t>u</w:t>
      </w:r>
      <w:r>
        <w:t xml:space="preserve"> w instalacji tego odbiorcy</w:t>
      </w:r>
      <w:bookmarkEnd w:id="4"/>
      <w:r>
        <w:t>.</w:t>
      </w:r>
    </w:p>
    <w:p w14:paraId="4F9CC641" w14:textId="5F031715" w:rsidR="00B644F3" w:rsidRPr="00B644F3" w:rsidRDefault="00B644F3" w:rsidP="005B7C3F">
      <w:pPr>
        <w:pStyle w:val="NormalnyIRIESD"/>
      </w:pPr>
      <w:r>
        <w:t>I.4.6. W przypadku otrzymania wniosku, o którym mowa w pkt. I.4.5. OSD:</w:t>
      </w:r>
    </w:p>
    <w:p w14:paraId="2AB8359E" w14:textId="0F0FD690" w:rsidR="00CE42E0" w:rsidRPr="00CE42E0" w:rsidRDefault="00B644F3" w:rsidP="00817551">
      <w:pPr>
        <w:pStyle w:val="drugi"/>
        <w:numPr>
          <w:ilvl w:val="0"/>
          <w:numId w:val="25"/>
        </w:numPr>
      </w:pPr>
      <w:bookmarkStart w:id="5" w:name="_Hlk99094822"/>
      <w:r>
        <w:t>zainstaluje licznik zdalnego odczytu w terminie 4 miesięcy od dnia wystąpienia o to odbiorcy końcowego</w:t>
      </w:r>
      <w:r w:rsidR="00980FDE">
        <w:t>,</w:t>
      </w:r>
      <w:bookmarkStart w:id="6" w:name="_Hlk99094851"/>
      <w:bookmarkEnd w:id="5"/>
    </w:p>
    <w:p w14:paraId="4C1753AA" w14:textId="4F2A8824" w:rsidR="00CE42E0" w:rsidRDefault="00CE42E0" w:rsidP="00CE42E0">
      <w:pPr>
        <w:pStyle w:val="drugi"/>
      </w:pPr>
      <w:r w:rsidRPr="00CE42E0">
        <w:t>umożliwi komunikację licznika zdalnego odczytu z urządzeniami odbiorcy końcowego, w</w:t>
      </w:r>
      <w:r w:rsidR="00A35910">
        <w:t> </w:t>
      </w:r>
      <w:r w:rsidRPr="00CE42E0">
        <w:t>terminie 2 miesięcy od dnia wystąpienia o to tego odbiorcy, o ile spełniają one wymagania określone w Ustawie oraz przepisach wydanych na jej podstawie,</w:t>
      </w:r>
      <w:bookmarkStart w:id="7" w:name="_Hlk99094864"/>
      <w:bookmarkEnd w:id="6"/>
    </w:p>
    <w:p w14:paraId="088F5F8C" w14:textId="6EF44A79" w:rsidR="00CB0F77" w:rsidRDefault="00CE42E0" w:rsidP="00CE42E0">
      <w:pPr>
        <w:pStyle w:val="drugi"/>
      </w:pPr>
      <w:r>
        <w:t xml:space="preserve">wyposaży punkt ładowania w rozumieniu art. 2 pkt 17 ustawy o </w:t>
      </w:r>
      <w:proofErr w:type="spellStart"/>
      <w:r>
        <w:t>elektromobilności</w:t>
      </w:r>
      <w:proofErr w:type="spellEnd"/>
      <w:r>
        <w:t xml:space="preserve"> należący do odbiorcy końcowego, w licznik zdalnego odczytu w terminie miesiąca od dnia wystąpienia o to tego odbiorcy.</w:t>
      </w:r>
    </w:p>
    <w:p w14:paraId="0ADD718E" w14:textId="2D20FDB2" w:rsidR="0023769D" w:rsidRDefault="0023769D" w:rsidP="005B7C3F">
      <w:pPr>
        <w:pStyle w:val="NormalnyIRIESD"/>
      </w:pPr>
      <w:r w:rsidRPr="00CC2CFB">
        <w:t xml:space="preserve"> </w:t>
      </w:r>
      <w:bookmarkEnd w:id="7"/>
      <w:r w:rsidR="00CB0F77">
        <w:t xml:space="preserve">I.4.7. OSD, w danym roku kalendarzowym </w:t>
      </w:r>
      <w:r w:rsidR="00CE42E0">
        <w:t>zainstaluje</w:t>
      </w:r>
      <w:r w:rsidR="00CB0F77">
        <w:t xml:space="preserve"> na wniosek odbiorcy końcowego przyłączonego do sieci o napięciu znamionowym nie wyższym niż 1 </w:t>
      </w:r>
      <w:proofErr w:type="spellStart"/>
      <w:r w:rsidR="00CB0F77">
        <w:t>kV</w:t>
      </w:r>
      <w:proofErr w:type="spellEnd"/>
      <w:r w:rsidR="00CB0F77">
        <w:t>, liczniki zdalnego odczytu, w nie więcej niż 0,1% punktów poboru energii u odbiorców końcowych, przyłączonych do sieci OSD. Przepisu nie stosuje się do odbiorcy końcowego i wytwórcy energii elektrycznej należącego do spółdzielni energetycznej w rozumieniu art. 2 pkt 33a Ustawy OZE.</w:t>
      </w:r>
    </w:p>
    <w:p w14:paraId="3D053B02" w14:textId="56E21087" w:rsidR="00CB0F77" w:rsidRPr="00CC2CFB" w:rsidRDefault="00CB0F77" w:rsidP="005B7C3F">
      <w:pPr>
        <w:pStyle w:val="NormalnyIRIESD"/>
      </w:pPr>
      <w:r>
        <w:t>I.4.8. Odbiorca końcow</w:t>
      </w:r>
      <w:r w:rsidR="00DF2B55">
        <w:t>y</w:t>
      </w:r>
      <w:r>
        <w:t xml:space="preserve"> ponosi koszty zainstalowania i uruchomienia licznika zdalnego odcz</w:t>
      </w:r>
      <w:r w:rsidR="00DF2B55">
        <w:t>y</w:t>
      </w:r>
      <w:r>
        <w:t>t</w:t>
      </w:r>
      <w:r w:rsidR="00DF2B55">
        <w:t>u</w:t>
      </w:r>
      <w:r>
        <w:t xml:space="preserve"> na wniosek, o którym mowa w pkt. I.4.5. </w:t>
      </w:r>
      <w:proofErr w:type="spellStart"/>
      <w:r>
        <w:t>ppkt</w:t>
      </w:r>
      <w:proofErr w:type="spellEnd"/>
      <w:r>
        <w:t xml:space="preserve"> 1) i 3). OSD publikuje na swojej stronie internetowej informację o możliwości instalacji licznika zdalnego odczytu zgodnie z pkt. I.4.5. i uśredniony łączny koszt instalacji i uruchomienia licznika zdalnego odczytu.”</w:t>
      </w:r>
    </w:p>
    <w:p w14:paraId="05069044" w14:textId="03822BF3" w:rsidR="0023769D" w:rsidRDefault="00CB0F77" w:rsidP="0091646E">
      <w:pPr>
        <w:pStyle w:val="pierwszy"/>
      </w:pPr>
      <w:r>
        <w:t>Dodaje się nowy punkt I.5.</w:t>
      </w:r>
      <w:r w:rsidR="0023769D" w:rsidRPr="00CC2CFB">
        <w:t xml:space="preserve">: </w:t>
      </w:r>
    </w:p>
    <w:p w14:paraId="33DCCB71" w14:textId="5617928E" w:rsidR="00CB0F77" w:rsidRDefault="00CB0F77" w:rsidP="005B7C3F">
      <w:pPr>
        <w:pStyle w:val="NormalnyIRiESDgruby"/>
      </w:pPr>
      <w:r w:rsidRPr="00CB0F77">
        <w:t>„I.5. Rejestr magazynów energii elektrycznej</w:t>
      </w:r>
    </w:p>
    <w:p w14:paraId="615E2401" w14:textId="74B865FB" w:rsidR="00CB0F77" w:rsidRDefault="00CB0F77" w:rsidP="005B7C3F">
      <w:pPr>
        <w:pStyle w:val="NormalnyIRIESD"/>
      </w:pPr>
      <w:r>
        <w:t>I.5.1. OSD prowadzi, w postaci elektronicznej, rejestr magazynów energii elektrycznej:</w:t>
      </w:r>
    </w:p>
    <w:p w14:paraId="61FAAB22" w14:textId="347D3DF2" w:rsidR="00CB0F77" w:rsidRDefault="00CB0F77" w:rsidP="00817551">
      <w:pPr>
        <w:pStyle w:val="drugi"/>
        <w:numPr>
          <w:ilvl w:val="0"/>
          <w:numId w:val="26"/>
        </w:numPr>
      </w:pPr>
      <w:r>
        <w:t>przyłączonych do sieci dystrybucyjnej OSD,</w:t>
      </w:r>
    </w:p>
    <w:p w14:paraId="41542EF2" w14:textId="2B0332CB" w:rsidR="00CB0F77" w:rsidRDefault="00CB0F77" w:rsidP="0052034A">
      <w:pPr>
        <w:pStyle w:val="drugi"/>
      </w:pPr>
      <w:r>
        <w:t>stanowiących część sieci dystrybucyjnej OSD,</w:t>
      </w:r>
    </w:p>
    <w:p w14:paraId="34C06F10" w14:textId="6697170D" w:rsidR="00CB0F77" w:rsidRDefault="00CB0F77" w:rsidP="0052034A">
      <w:pPr>
        <w:pStyle w:val="drugi"/>
      </w:pPr>
      <w:r>
        <w:t>wchodzących w skład jednostki wytwórczej lub instalacji odbiorcy końcowego przyłączonej do sieci dystrybucyjnej OSD.</w:t>
      </w:r>
    </w:p>
    <w:p w14:paraId="4D5C3520" w14:textId="1071C635" w:rsidR="00CB0F77" w:rsidRDefault="00CB0F77" w:rsidP="005B7C3F">
      <w:pPr>
        <w:pStyle w:val="NormalnyIRIESD"/>
      </w:pPr>
      <w:r>
        <w:t>Rejestr magazynów energii elektrycznej jest prowadzony zgodnie ze wzorem określonym w</w:t>
      </w:r>
      <w:r w:rsidR="008C21DA">
        <w:t> </w:t>
      </w:r>
      <w:r>
        <w:t>rozporządzeniu Ministra Klimatu i Środowiska z dnia 21 października 2021 r. w sprawie rejestru magazynów energii elektrycznej (Dz.U. z 2021 r. poz. 20</w:t>
      </w:r>
      <w:r w:rsidR="009C36C7">
        <w:t>1</w:t>
      </w:r>
      <w:r>
        <w:t>0)</w:t>
      </w:r>
      <w:r w:rsidR="007E23C7">
        <w:t>.</w:t>
      </w:r>
    </w:p>
    <w:p w14:paraId="6A80C577" w14:textId="53D4E085" w:rsidR="007E23C7" w:rsidRDefault="007E23C7" w:rsidP="005B7C3F">
      <w:pPr>
        <w:pStyle w:val="NormalnyIRIESD"/>
      </w:pPr>
      <w:r>
        <w:t>I.5.2. Wpisowi do rejestru, o którym mowa w pkt I.5.1., podlegają magazyny energii elektrycznej o</w:t>
      </w:r>
      <w:r w:rsidR="00134F0C">
        <w:t> </w:t>
      </w:r>
      <w:r>
        <w:t xml:space="preserve">łącznej mocy zainstalowanej większej niż 50 </w:t>
      </w:r>
      <w:proofErr w:type="spellStart"/>
      <w:r>
        <w:t>kW.</w:t>
      </w:r>
      <w:proofErr w:type="spellEnd"/>
    </w:p>
    <w:p w14:paraId="136C1A1F" w14:textId="6E3DE310" w:rsidR="007E23C7" w:rsidRDefault="007E23C7" w:rsidP="005B7C3F">
      <w:pPr>
        <w:pStyle w:val="NormalnyIRIESD"/>
      </w:pPr>
      <w:r>
        <w:t>I.5.3. OSD wpisuje magazyn energii elektrycznej do rejestru, o którym mowa w pkt I.5.1., w</w:t>
      </w:r>
      <w:r w:rsidR="00134F0C">
        <w:t> </w:t>
      </w:r>
      <w:r>
        <w:t>terminie 14 dni kalendarzowych od dnia oddania tego magazynu do eksploatacji lub otrzymania informacji, o której mowa w pkt I.5.4.</w:t>
      </w:r>
    </w:p>
    <w:p w14:paraId="3C28249B" w14:textId="3D88EF47" w:rsidR="007E23C7" w:rsidRDefault="007E23C7" w:rsidP="005B7C3F">
      <w:pPr>
        <w:pStyle w:val="NormalnyIRIESD"/>
      </w:pPr>
      <w:r>
        <w:t>W przypadku gdy właściwym do dokonania wpisu do rejestru, o którym mowa w pkt I.5.1., poza OSD jest także inny operator systemu elektroenergetycznego, wpisu do rejestru dokonuje operator systemu dystrybucyjnego wskazany przez posiadacza magazynu energii elektrycznej.</w:t>
      </w:r>
    </w:p>
    <w:p w14:paraId="49505906" w14:textId="4EA1B73F" w:rsidR="007E23C7" w:rsidRDefault="007E23C7" w:rsidP="005B7C3F">
      <w:pPr>
        <w:pStyle w:val="NormalnyIRIESD"/>
      </w:pPr>
      <w:r>
        <w:t xml:space="preserve">I.5.4. </w:t>
      </w:r>
      <w:r w:rsidR="009C36C7" w:rsidRPr="009C36C7">
        <w:t xml:space="preserve">W przypadku gdy magazyn energii elektrycznej wchodzi w skład jednostki wytwórczej lub instalacji odbiorcy końcowego przyłączonej do sieci </w:t>
      </w:r>
      <w:r w:rsidR="009C36C7">
        <w:t>OSD</w:t>
      </w:r>
      <w:r w:rsidR="009C36C7" w:rsidRPr="009C36C7">
        <w:t xml:space="preserve">, posiadacz tego magazynu przekazuje </w:t>
      </w:r>
      <w:r w:rsidR="009C36C7">
        <w:t>OSD</w:t>
      </w:r>
      <w:r w:rsidR="009C36C7" w:rsidRPr="009C36C7">
        <w:t xml:space="preserve"> informację, zgodnie z wzorem i zakresem określonym w przepisach wydanych na podstawie Ustawy, w terminie 7 dni kalendarzowych od dnia oddania tego magazynu do eksploatacji</w:t>
      </w:r>
      <w:r>
        <w:t>.</w:t>
      </w:r>
    </w:p>
    <w:p w14:paraId="66B52F46" w14:textId="6A74AD8C" w:rsidR="007E23C7" w:rsidRDefault="007E23C7" w:rsidP="005B7C3F">
      <w:pPr>
        <w:pStyle w:val="NormalnyIRIESD"/>
      </w:pPr>
      <w:r>
        <w:t xml:space="preserve">I.5.5. </w:t>
      </w:r>
      <w:r w:rsidR="009C36C7" w:rsidRPr="009C36C7">
        <w:t xml:space="preserve">Rejestr, o którym mowa w pkt I.5.1., jest jawny i udostępniany przez </w:t>
      </w:r>
      <w:r w:rsidR="009C36C7">
        <w:t>OSD</w:t>
      </w:r>
      <w:r w:rsidR="009C36C7" w:rsidRPr="009C36C7">
        <w:t xml:space="preserve"> na stronie internetowej, z wyłączeniem informacji stanowiących tajemnicę przedsiębiorstwa, które zastrzegł posiadacz magazynu energii elektrycznej, lub podlegających ochronie danych osobowych</w:t>
      </w:r>
      <w:r>
        <w:t>.</w:t>
      </w:r>
    </w:p>
    <w:p w14:paraId="45F1F56E" w14:textId="04682CBC" w:rsidR="007E23C7" w:rsidRPr="00CB0F77" w:rsidRDefault="007E23C7" w:rsidP="005B7C3F">
      <w:pPr>
        <w:pStyle w:val="NormalnyIRIESD"/>
      </w:pPr>
      <w:r>
        <w:t xml:space="preserve">I.5.6. </w:t>
      </w:r>
      <w:r w:rsidR="006D3E22" w:rsidRPr="006D3E22">
        <w:t xml:space="preserve">Posiadacz magazynu energii elektrycznej powiadamia </w:t>
      </w:r>
      <w:r w:rsidR="006D3E22">
        <w:t>OSD</w:t>
      </w:r>
      <w:r w:rsidR="006D3E22" w:rsidRPr="006D3E22">
        <w:t xml:space="preserve"> o wszelkiej zmianie danych określonych w rozporządzeniu, o którym mowa w pkt I.5.1., w terminie 14 dni kalendarzowych od dnia zmiany tych danych. </w:t>
      </w:r>
      <w:r w:rsidR="006D3E22">
        <w:t>OSD</w:t>
      </w:r>
      <w:r w:rsidR="006D3E22" w:rsidRPr="006D3E22">
        <w:t xml:space="preserve"> aktualizuje dane w terminie 14 dni kalendarzowych od dnia otrzymania powiadomienia</w:t>
      </w:r>
      <w:r>
        <w:t xml:space="preserve">.” </w:t>
      </w:r>
    </w:p>
    <w:p w14:paraId="4CEFF3AC" w14:textId="77777777" w:rsidR="00EA1C7C" w:rsidRPr="006B2BD0" w:rsidRDefault="0023769D" w:rsidP="0091646E">
      <w:pPr>
        <w:pStyle w:val="pierwszy"/>
      </w:pPr>
      <w:r w:rsidRPr="00CC2CFB">
        <w:t>Punkt II.1.2. otrzymuje następujące brzmienie</w:t>
      </w:r>
      <w:r w:rsidRPr="006B2BD0">
        <w:t xml:space="preserve">: </w:t>
      </w:r>
    </w:p>
    <w:p w14:paraId="3C54B711" w14:textId="5ED47971" w:rsidR="0023769D" w:rsidRPr="00CC2CFB" w:rsidRDefault="00A1090A" w:rsidP="0091646E">
      <w:pPr>
        <w:pStyle w:val="pierwszy"/>
        <w:numPr>
          <w:ilvl w:val="0"/>
          <w:numId w:val="0"/>
        </w:numPr>
        <w:ind w:left="357"/>
      </w:pPr>
      <w:bookmarkStart w:id="8" w:name="_Hlk99095351"/>
      <w:r>
        <w:t xml:space="preserve">„II.1.2. </w:t>
      </w:r>
      <w:r w:rsidR="006D3E22" w:rsidRPr="006D3E22">
        <w:t xml:space="preserve">Procedura przyłączenia do sieci dystrybucyjnej </w:t>
      </w:r>
      <w:r w:rsidR="006D3E22">
        <w:t>OSD</w:t>
      </w:r>
      <w:r w:rsidR="006D3E22" w:rsidRPr="006D3E22">
        <w:t xml:space="preserve">, z wyłączeniem </w:t>
      </w:r>
      <w:proofErr w:type="spellStart"/>
      <w:r w:rsidR="006D3E22" w:rsidRPr="006D3E22">
        <w:t>mikroinstalacji</w:t>
      </w:r>
      <w:proofErr w:type="spellEnd"/>
      <w:r w:rsidR="006D3E22" w:rsidRPr="006D3E22">
        <w:t xml:space="preserve"> przyłączanych na podstawie zgłoszenia, obejmuje</w:t>
      </w:r>
      <w:r w:rsidR="0023769D" w:rsidRPr="00CC2CFB">
        <w:t xml:space="preserve">: </w:t>
      </w:r>
      <w:bookmarkEnd w:id="8"/>
    </w:p>
    <w:p w14:paraId="18FFD687" w14:textId="452B59BF" w:rsidR="0023769D" w:rsidRPr="00CC2CFB" w:rsidRDefault="006D3E22" w:rsidP="002767D8">
      <w:pPr>
        <w:pStyle w:val="drugi"/>
        <w:numPr>
          <w:ilvl w:val="0"/>
          <w:numId w:val="6"/>
        </w:numPr>
      </w:pPr>
      <w:bookmarkStart w:id="9" w:name="_Hlk99095364"/>
      <w:r w:rsidRPr="006D3E22">
        <w:t xml:space="preserve">pozyskanie przez podmiot od </w:t>
      </w:r>
      <w:r>
        <w:t>OSD</w:t>
      </w:r>
      <w:r w:rsidRPr="006D3E22">
        <w:t xml:space="preserve">, wzoru wniosku o określenie warunków przyłączenia lub wzoru wniosku o określenie warunków przyłączania </w:t>
      </w:r>
      <w:proofErr w:type="spellStart"/>
      <w:r w:rsidRPr="006D3E22">
        <w:t>mikroinstalacji</w:t>
      </w:r>
      <w:proofErr w:type="spellEnd"/>
      <w:r w:rsidRPr="006D3E22">
        <w:t xml:space="preserve"> (dalej „wniosek dla </w:t>
      </w:r>
      <w:proofErr w:type="spellStart"/>
      <w:r w:rsidRPr="006D3E22">
        <w:t>mikroinstalacji</w:t>
      </w:r>
      <w:proofErr w:type="spellEnd"/>
      <w:r w:rsidR="00E2592A">
        <w:t>”)</w:t>
      </w:r>
      <w:r w:rsidR="0023769D" w:rsidRPr="00CC2CFB">
        <w:t xml:space="preserve">, </w:t>
      </w:r>
      <w:bookmarkEnd w:id="9"/>
    </w:p>
    <w:p w14:paraId="29D5BA3B" w14:textId="5E7E1C70" w:rsidR="0023769D" w:rsidRPr="00CC2CFB" w:rsidRDefault="006D3E22" w:rsidP="0052034A">
      <w:pPr>
        <w:pStyle w:val="drugi"/>
      </w:pPr>
      <w:bookmarkStart w:id="10" w:name="_Hlk99095381"/>
      <w:r w:rsidRPr="006D3E22">
        <w:t xml:space="preserve">złożenie przez podmiot u </w:t>
      </w:r>
      <w:r>
        <w:t>OSD</w:t>
      </w:r>
      <w:r w:rsidRPr="006D3E22">
        <w:t>, wniosku o określenie warunków przyłączenia wraz z</w:t>
      </w:r>
      <w:r>
        <w:t> </w:t>
      </w:r>
      <w:r w:rsidRPr="006D3E22">
        <w:t xml:space="preserve">wymaganymi załącznikami, zgodnego ze wzorem określonym przez </w:t>
      </w:r>
      <w:r>
        <w:t>OSD</w:t>
      </w:r>
      <w:r w:rsidRPr="006D3E22">
        <w:t xml:space="preserve">. Wniosek składa się w formie pisemnej, dokumentowej lub elektronicznej. Wnioski w formie elektronicznej mogą być opatrzone kwalifikowanym podpisem elektronicznym lub profilem zaufanym </w:t>
      </w:r>
      <w:proofErr w:type="spellStart"/>
      <w:r w:rsidRPr="006D3E22">
        <w:t>ePUAP</w:t>
      </w:r>
      <w:proofErr w:type="spellEnd"/>
      <w:r w:rsidR="0023769D" w:rsidRPr="00CC2CFB">
        <w:t xml:space="preserve">, </w:t>
      </w:r>
      <w:bookmarkEnd w:id="10"/>
    </w:p>
    <w:p w14:paraId="7B55327B" w14:textId="0EC843B9" w:rsidR="006D3E22" w:rsidRPr="006D3E22" w:rsidRDefault="006D3E22" w:rsidP="006D3E22">
      <w:pPr>
        <w:pStyle w:val="drugi"/>
      </w:pPr>
      <w:bookmarkStart w:id="11" w:name="_Hlk99095399"/>
      <w:r w:rsidRPr="006D3E22">
        <w:t xml:space="preserve">w przypadku wniosku dla </w:t>
      </w:r>
      <w:proofErr w:type="spellStart"/>
      <w:r w:rsidRPr="006D3E22">
        <w:t>mikroinstalacji</w:t>
      </w:r>
      <w:proofErr w:type="spellEnd"/>
      <w:r w:rsidRPr="006D3E22">
        <w:t>, sporządza się go na piśmie utrwalonym w postaci elektronicznej, opatrzonej kwalifikowanym podpisem elektronicznym, podpisem zaufanym albo podpisem osobistym, albo w postaci papierowej opatrzonej podpisem własnoręcznym i składa się</w:t>
      </w:r>
      <w:r w:rsidR="00E2592A">
        <w:t>:</w:t>
      </w:r>
    </w:p>
    <w:p w14:paraId="508CC9E6" w14:textId="430B0B00" w:rsidR="006D3E22" w:rsidRDefault="006D3E22" w:rsidP="006D3E22">
      <w:pPr>
        <w:pStyle w:val="trzeci0"/>
      </w:pPr>
      <w:r w:rsidRPr="006D3E22">
        <w:t>z wykorzystaniem środków komunikacji elektronicznej w rozumieniu art. 2 pkt 5 ustawy z</w:t>
      </w:r>
      <w:r>
        <w:t> </w:t>
      </w:r>
      <w:r w:rsidRPr="006D3E22">
        <w:t>dnia 18 lipca 2002 r. o świadczeniu usług drogą elektroniczną (Dz. U. z 2020 r. poz. 344), w tym elektronicznej skrzynki podawczej w rozumieniu art. 3 pkt 17 ustawy z dnia 17 lutego 2005 r. o informatyzacji działalności podmiotów realizujących zadania publiczne (Dz. U. z</w:t>
      </w:r>
      <w:r>
        <w:t> </w:t>
      </w:r>
      <w:r w:rsidRPr="006D3E22">
        <w:t>2021 r. poz. 2070) lub publicznej usługi rejestrowanego doręczenia elektronicznego na adres do doręczeń elektronicznych wpisany do bazy adresów elektronicznych, o której mowa w art. 4 ust. 1 ustawy z dnia 18 listopada 2020 r. o doręczeniach elektronicznych (Dz. U. z</w:t>
      </w:r>
      <w:r>
        <w:t> </w:t>
      </w:r>
      <w:r w:rsidRPr="006D3E22">
        <w:t xml:space="preserve">2020r. poz. 2320 z </w:t>
      </w:r>
      <w:proofErr w:type="spellStart"/>
      <w:r w:rsidRPr="006D3E22">
        <w:t>późn</w:t>
      </w:r>
      <w:proofErr w:type="spellEnd"/>
      <w:r w:rsidRPr="006D3E22">
        <w:t xml:space="preserve">. zm.), lub publicznej usługi hybrydowej w rozumieniu art. 2 pkt 7 tej ustawy – w przypadku wniosku dla </w:t>
      </w:r>
      <w:proofErr w:type="spellStart"/>
      <w:r w:rsidRPr="006D3E22">
        <w:t>mikroinstalacji</w:t>
      </w:r>
      <w:proofErr w:type="spellEnd"/>
      <w:r w:rsidRPr="006D3E22">
        <w:t xml:space="preserve"> sporządzonego na piśmie utrwalonym w postaci elektronicznej </w:t>
      </w:r>
      <w:r w:rsidR="004266BD">
        <w:t xml:space="preserve">o ile OSD wprowadził tego typu rozwiązania </w:t>
      </w:r>
      <w:r w:rsidRPr="006D3E22">
        <w:t>albo</w:t>
      </w:r>
      <w:r w:rsidR="00E2592A">
        <w:t>,</w:t>
      </w:r>
    </w:p>
    <w:p w14:paraId="3595B438" w14:textId="3F10B341" w:rsidR="00E2592A" w:rsidRDefault="006D3E22" w:rsidP="006D3E22">
      <w:pPr>
        <w:pStyle w:val="trzeci0"/>
      </w:pPr>
      <w:r>
        <w:t xml:space="preserve">za pośrednictwem operatora wyznaczonego w rozumieniu art. 3 pkt 13 ustawy z dnia 23 listopada 2012 r. – Prawo pocztowe (Dz. U. z 2020 r. poz. 1041 z </w:t>
      </w:r>
      <w:proofErr w:type="spellStart"/>
      <w:r>
        <w:t>późn</w:t>
      </w:r>
      <w:proofErr w:type="spellEnd"/>
      <w:r>
        <w:t xml:space="preserve">. zm.) lub placówki pocztowej operatora świadczącego pocztowe usługi powszechne w innym państwie członkowskim Unii Europejskiej, Konfederacji Szwajcarskiej, państwie członkowskim Europejskiego Porozumienia o Wolnym Handlu (EFTA) – stronie umowy o Europejskim Obszarze Gospodarczym, lub osobiście w siedzibie OSD – w przypadku wniosku dla </w:t>
      </w:r>
      <w:proofErr w:type="spellStart"/>
      <w:r>
        <w:t>mikroinstalacji</w:t>
      </w:r>
      <w:proofErr w:type="spellEnd"/>
      <w:r>
        <w:t xml:space="preserve"> sporządzonego na piśmie utrwalonym w postaci papierowej. </w:t>
      </w:r>
    </w:p>
    <w:p w14:paraId="5D718627" w14:textId="636D6B8C" w:rsidR="00564D5C" w:rsidRPr="00564D5C" w:rsidRDefault="00564D5C" w:rsidP="00FC2ED7">
      <w:pPr>
        <w:pStyle w:val="Normalny2IRIESD"/>
      </w:pPr>
      <w:r>
        <w:t xml:space="preserve">Wniosek dla </w:t>
      </w:r>
      <w:proofErr w:type="spellStart"/>
      <w:r>
        <w:t>mikroinstalacji</w:t>
      </w:r>
      <w:proofErr w:type="spellEnd"/>
      <w:r>
        <w:t xml:space="preserve"> rozpatruje się w postaci elektronicznej, w </w:t>
      </w:r>
      <w:proofErr w:type="gramStart"/>
      <w:r>
        <w:t>przypadku</w:t>
      </w:r>
      <w:proofErr w:type="gramEnd"/>
      <w:r>
        <w:t xml:space="preserve"> gdy wniosek ten został złożony w sposób określony w </w:t>
      </w:r>
      <w:proofErr w:type="spellStart"/>
      <w:r>
        <w:t>ppkt</w:t>
      </w:r>
      <w:proofErr w:type="spellEnd"/>
      <w:r>
        <w:t xml:space="preserve"> a) lub gdy wniosek ten został złożony w sposób określony w </w:t>
      </w:r>
      <w:proofErr w:type="spellStart"/>
      <w:r>
        <w:t>ppkt</w:t>
      </w:r>
      <w:proofErr w:type="spellEnd"/>
      <w:r>
        <w:t xml:space="preserve"> b) i składający </w:t>
      </w:r>
      <w:r w:rsidR="006D3E22">
        <w:t>w</w:t>
      </w:r>
      <w:r>
        <w:t>nio</w:t>
      </w:r>
      <w:r w:rsidR="006D3E22">
        <w:t>s</w:t>
      </w:r>
      <w:r>
        <w:t>ek wyraził zgodę na prowadzenie sprawy w postaci elektronicznej,</w:t>
      </w:r>
    </w:p>
    <w:p w14:paraId="07564453" w14:textId="4B8C9CAE" w:rsidR="0023769D" w:rsidRPr="00CC2CFB" w:rsidRDefault="0023769D" w:rsidP="0052034A">
      <w:pPr>
        <w:pStyle w:val="drugi"/>
      </w:pPr>
      <w:r w:rsidRPr="00CC2CFB">
        <w:t xml:space="preserve">w przypadku podmiotów ubiegających się o przyłączenie źródła energii elektrycznej do sieci elektroenergetycznej o napięciu znamionowym wyższym niż 1 </w:t>
      </w:r>
      <w:proofErr w:type="spellStart"/>
      <w:r w:rsidRPr="00CC2CFB">
        <w:t>kV</w:t>
      </w:r>
      <w:proofErr w:type="spellEnd"/>
      <w:r w:rsidRPr="00CC2CFB">
        <w:t xml:space="preserve"> (z wyłączeniem przypadków określonych w Ustawie) wpłacenie na rachunek bankowy, wskazany przez </w:t>
      </w:r>
      <w:r w:rsidR="00F3239B" w:rsidRPr="006B2BD0">
        <w:t>OSD</w:t>
      </w:r>
      <w:r w:rsidRPr="00CC2CFB">
        <w:t xml:space="preserve">, zaliczki na poczet opłaty za przyłączenie do sieci. Zaliczkę wnosi się w ciągu 14 dni kalendarzowych od dnia złożenia wniosku o określenie warunków przyłączenia, pod rygorem pozostawienia wniosku bez rozpatrzenia, </w:t>
      </w:r>
      <w:bookmarkEnd w:id="11"/>
    </w:p>
    <w:p w14:paraId="1387E44B" w14:textId="181032D7" w:rsidR="0023769D" w:rsidRPr="00CC2CFB" w:rsidRDefault="006D3E22" w:rsidP="0052034A">
      <w:pPr>
        <w:pStyle w:val="drugi"/>
      </w:pPr>
      <w:bookmarkStart w:id="12" w:name="_Hlk99095412"/>
      <w:r w:rsidRPr="006D3E22">
        <w:t xml:space="preserve">w przypadku wniesienia zaliczki na poczet opłaty za przyłączenie przed dniem złożenia wniosku o określenie warunków przyłączenia, </w:t>
      </w:r>
      <w:r>
        <w:t>OSD</w:t>
      </w:r>
      <w:r w:rsidRPr="006D3E22">
        <w:t xml:space="preserve"> niezwłocznie zwraca zaliczkę</w:t>
      </w:r>
      <w:r w:rsidR="0023769D" w:rsidRPr="00CC2CFB">
        <w:t xml:space="preserve">, </w:t>
      </w:r>
      <w:bookmarkEnd w:id="12"/>
    </w:p>
    <w:p w14:paraId="46D236D6" w14:textId="2788CAB6" w:rsidR="0023769D" w:rsidRPr="00CC2CFB" w:rsidRDefault="006D3E22" w:rsidP="0052034A">
      <w:pPr>
        <w:pStyle w:val="drugi"/>
      </w:pPr>
      <w:bookmarkStart w:id="13" w:name="_Hlk99095426"/>
      <w:r w:rsidRPr="006D3E22">
        <w:t xml:space="preserve">jeżeli złożony wniosek o określenie warunków przyłączenia, jest niezgodny z wzorem udostępnionym przez </w:t>
      </w:r>
      <w:r>
        <w:t>OSD</w:t>
      </w:r>
      <w:r w:rsidRPr="006D3E22">
        <w:t xml:space="preserve">, nie spełnia wymagań określonych odpowiednio dla danego rodzaju wniosku, </w:t>
      </w:r>
      <w:r>
        <w:t>OSD</w:t>
      </w:r>
      <w:r w:rsidRPr="006D3E22">
        <w:t xml:space="preserve"> wzywa wnioskodawcę do usunięcia braków w terminie 14 dni kalendarzowych od dnia otrzymania wezwania z pouczeniem, że nieusunięcie braków w wyznaczonym terminie spowoduje pozostawienie tego wniosku bez rozpoznania</w:t>
      </w:r>
      <w:r w:rsidR="0023769D" w:rsidRPr="00CC2CFB">
        <w:t xml:space="preserve">, </w:t>
      </w:r>
      <w:bookmarkEnd w:id="13"/>
    </w:p>
    <w:p w14:paraId="098E92F3" w14:textId="7AA45097" w:rsidR="0023769D" w:rsidRPr="00CC2CFB" w:rsidRDefault="006D3E22" w:rsidP="0052034A">
      <w:pPr>
        <w:pStyle w:val="drugi"/>
      </w:pPr>
      <w:bookmarkStart w:id="14" w:name="_Hlk99095443"/>
      <w:r w:rsidRPr="006D3E22">
        <w:t xml:space="preserve">w przypadku nieusunięcia braków w wyznaczonym terminie, wniosek o określenie warunków przyłączenia pozostawia się bez rozpoznania, o czym </w:t>
      </w:r>
      <w:r>
        <w:t>OSD</w:t>
      </w:r>
      <w:r w:rsidRPr="006D3E22">
        <w:t xml:space="preserve"> informuje wnioskodawcę</w:t>
      </w:r>
      <w:r w:rsidR="0023769D" w:rsidRPr="00CC2CFB">
        <w:t xml:space="preserve">, </w:t>
      </w:r>
      <w:bookmarkEnd w:id="14"/>
    </w:p>
    <w:p w14:paraId="78EB9221" w14:textId="06DD55A7" w:rsidR="00564D5C" w:rsidRDefault="006D3E22" w:rsidP="0052034A">
      <w:pPr>
        <w:pStyle w:val="drugi"/>
      </w:pPr>
      <w:bookmarkStart w:id="15" w:name="_Hlk99095456"/>
      <w:r w:rsidRPr="006D3E22">
        <w:t xml:space="preserve">w przypadku, gdy złożony wniosek dla </w:t>
      </w:r>
      <w:proofErr w:type="spellStart"/>
      <w:r w:rsidRPr="006D3E22">
        <w:t>mikroinstalacji</w:t>
      </w:r>
      <w:proofErr w:type="spellEnd"/>
      <w:r w:rsidRPr="006D3E22">
        <w:t xml:space="preserve"> jest niekompletny, nieprawidłowo wypełniony lub nie został złożony zgodnie ze wzorem określonym przez </w:t>
      </w:r>
      <w:r>
        <w:t>OSD</w:t>
      </w:r>
      <w:r w:rsidRPr="006D3E22">
        <w:t xml:space="preserve">, </w:t>
      </w:r>
      <w:r>
        <w:t>OSD</w:t>
      </w:r>
      <w:r w:rsidRPr="006D3E22">
        <w:t xml:space="preserve"> w terminie 7 dni kalendarzowych od daty wpływu wniosku wzywa składającego wniosek do jego uzupełnienia lub poprawienia w wyznaczonym terminie, nie krótszym jednak niż 30 dni kalendarzowych od dnia doręczenia wezwania</w:t>
      </w:r>
      <w:r w:rsidR="00564D5C">
        <w:t>.</w:t>
      </w:r>
    </w:p>
    <w:p w14:paraId="536CE62A" w14:textId="5B54D058" w:rsidR="00564D5C" w:rsidRDefault="006D3E22" w:rsidP="005B7C3F">
      <w:pPr>
        <w:pStyle w:val="Normalny3"/>
      </w:pPr>
      <w:r w:rsidRPr="006D3E22">
        <w:t xml:space="preserve">Nadanie w terminie uzupełnionego lub poprawionego wniosku dla </w:t>
      </w:r>
      <w:proofErr w:type="spellStart"/>
      <w:r w:rsidRPr="006D3E22">
        <w:t>mikroinstalacji</w:t>
      </w:r>
      <w:proofErr w:type="spellEnd"/>
      <w:r w:rsidRPr="006D3E22">
        <w:t xml:space="preserve"> w polskiej placówce pocztowej operatora wyznaczonego w rozumieniu art. 3 pkt 13 ustawy z dnia 23</w:t>
      </w:r>
      <w:r>
        <w:t> </w:t>
      </w:r>
      <w:r w:rsidRPr="006D3E22">
        <w:t>listopada 2012 r. – Prawo pocztowe lub w placówce pocztowej operatora świadczącego pocztowe usługi powszechne w innym państwie członkowskim Unii Europejskiej, Konfederacji Szwajcarskiej, państwie członkowskim Europejskiego Porozumienia o Wolnym Handlu (EFTA) – stronie umowy o Europejskim Obszarze Gospodarczym albo wniesienie go za pomocą środków komunikacji elektronicznej w rozumieniu art. 2 pkt 5 ustawy z dnia 18 lipca 2002 r. o</w:t>
      </w:r>
      <w:r>
        <w:t> </w:t>
      </w:r>
      <w:r w:rsidRPr="006D3E22">
        <w:t>świadczeniu usług drogą elektroniczną w postaci elektronicznej opatrzonej kwalifikowanym podpisem elektronicznym, podpisem zaufanym lub podpisem osobistym jest równoznaczne z</w:t>
      </w:r>
      <w:r>
        <w:t> </w:t>
      </w:r>
      <w:r w:rsidRPr="006D3E22">
        <w:t>wniesieniem go w terminie</w:t>
      </w:r>
      <w:r w:rsidR="00FC2ED7">
        <w:t>.</w:t>
      </w:r>
    </w:p>
    <w:p w14:paraId="5E2DEF56" w14:textId="43F39BE5" w:rsidR="00FC2ED7" w:rsidRPr="00564D5C" w:rsidRDefault="00FC2ED7" w:rsidP="005B7C3F">
      <w:pPr>
        <w:pStyle w:val="Normalny3"/>
      </w:pPr>
      <w:r>
        <w:t xml:space="preserve">Wniosek dla </w:t>
      </w:r>
      <w:proofErr w:type="spellStart"/>
      <w:r>
        <w:t>mikroinstalacji</w:t>
      </w:r>
      <w:proofErr w:type="spellEnd"/>
      <w:r>
        <w:t xml:space="preserve"> nieuzupełniony lub niepoprawiony w terminie wyznaczonym przez OSD pozostawia się bez </w:t>
      </w:r>
      <w:r w:rsidR="002A1AD3">
        <w:t>rozpatrzenia.</w:t>
      </w:r>
    </w:p>
    <w:p w14:paraId="3DA83AA3" w14:textId="700896C2" w:rsidR="0023769D" w:rsidRPr="00CC2CFB" w:rsidRDefault="00DF48A0" w:rsidP="0052034A">
      <w:pPr>
        <w:pStyle w:val="drugi"/>
      </w:pPr>
      <w:r>
        <w:t>OSD</w:t>
      </w:r>
      <w:r w:rsidRPr="00DF48A0">
        <w:t xml:space="preserve"> na żądanie wnioskodawcy, potwierdza w formie pisemnej, dokumentowej lub elektronicznej złożenie wniosku o określenie warunków przyłączenia, określając w</w:t>
      </w:r>
      <w:r>
        <w:t> </w:t>
      </w:r>
      <w:r w:rsidRPr="00DF48A0">
        <w:t>szczególności datę jego złożenia</w:t>
      </w:r>
      <w:r w:rsidR="0023769D" w:rsidRPr="00CC2CFB">
        <w:t xml:space="preserve">, </w:t>
      </w:r>
      <w:bookmarkEnd w:id="15"/>
    </w:p>
    <w:p w14:paraId="20B03BCC" w14:textId="77777777" w:rsidR="00D77425" w:rsidRDefault="0023769D" w:rsidP="0052034A">
      <w:pPr>
        <w:pStyle w:val="drugi"/>
      </w:pPr>
      <w:bookmarkStart w:id="16" w:name="_Hlk99095472"/>
      <w:r w:rsidRPr="00CC2CFB">
        <w:t>w przypadku urządzeń, instalacji lub</w:t>
      </w:r>
      <w:r w:rsidR="00D77425">
        <w:t xml:space="preserve"> sieci przyłączanych bezpośrednio do sieci o napięciu znamionowym wyższym niż 1 </w:t>
      </w:r>
      <w:proofErr w:type="spellStart"/>
      <w:r w:rsidR="00D77425">
        <w:t>kV</w:t>
      </w:r>
      <w:proofErr w:type="spellEnd"/>
      <w:r w:rsidR="00D77425">
        <w:t>, sporządzenie ekspertyzy wpływu tych urządzeń, instalacji lub sieci na system elektroenergetyczny, z wyjątkiem:</w:t>
      </w:r>
    </w:p>
    <w:p w14:paraId="1E61E3A2" w14:textId="77777777" w:rsidR="00D77425" w:rsidRDefault="00D77425" w:rsidP="00817551">
      <w:pPr>
        <w:pStyle w:val="trzeci0"/>
        <w:numPr>
          <w:ilvl w:val="0"/>
          <w:numId w:val="27"/>
        </w:numPr>
      </w:pPr>
      <w:r>
        <w:t>przyłączanej jednostki wytwórczej o łącznej mocy zainstalowanej nie większej niż 2 MW</w:t>
      </w:r>
      <w:r w:rsidR="0023769D" w:rsidRPr="00CC2CFB">
        <w:t>,</w:t>
      </w:r>
      <w:r>
        <w:t xml:space="preserve"> lub</w:t>
      </w:r>
    </w:p>
    <w:p w14:paraId="06B0A558" w14:textId="77777777" w:rsidR="00D77425" w:rsidRDefault="00D77425" w:rsidP="00817551">
      <w:pPr>
        <w:pStyle w:val="trzeci0"/>
        <w:numPr>
          <w:ilvl w:val="0"/>
          <w:numId w:val="27"/>
        </w:numPr>
      </w:pPr>
      <w:r>
        <w:t>przyłączanych urządzeń odbiorcy końcowego o łącznej mocy przyłączeniowej nie większej niż 5 MW, lub</w:t>
      </w:r>
    </w:p>
    <w:p w14:paraId="61196291" w14:textId="77777777" w:rsidR="00D77425" w:rsidRDefault="00D77425" w:rsidP="00817551">
      <w:pPr>
        <w:pStyle w:val="trzeci0"/>
        <w:numPr>
          <w:ilvl w:val="0"/>
          <w:numId w:val="27"/>
        </w:numPr>
      </w:pPr>
      <w:r>
        <w:t>przyłączanego magazynu energii elektrycznej o łącznej mocy zainstalowanej nie większej niż 2 MW, lub</w:t>
      </w:r>
    </w:p>
    <w:p w14:paraId="5B5BA992" w14:textId="77777777" w:rsidR="00D77425" w:rsidRDefault="00D77425" w:rsidP="00817551">
      <w:pPr>
        <w:pStyle w:val="trzeci0"/>
        <w:numPr>
          <w:ilvl w:val="0"/>
          <w:numId w:val="27"/>
        </w:numPr>
      </w:pPr>
      <w:r>
        <w:t xml:space="preserve">przyłączanej jednostki wytwórczej, której część będzie stanowił magazyn energii elektrycznej, pod </w:t>
      </w:r>
      <w:proofErr w:type="gramStart"/>
      <w:r>
        <w:t>warunkiem</w:t>
      </w:r>
      <w:proofErr w:type="gramEnd"/>
      <w:r>
        <w:t xml:space="preserve"> że łączna moc zainstalowana tego magazynu i jednostki wytwórczej jest nie większa niż 2 MW, lub</w:t>
      </w:r>
    </w:p>
    <w:p w14:paraId="60B29DEA" w14:textId="3F610F92" w:rsidR="00D77425" w:rsidRDefault="00D77425" w:rsidP="00817551">
      <w:pPr>
        <w:pStyle w:val="trzeci0"/>
        <w:numPr>
          <w:ilvl w:val="0"/>
          <w:numId w:val="27"/>
        </w:numPr>
      </w:pPr>
      <w:r>
        <w:t xml:space="preserve">przyłączanej instalacji odbiorcy końcowego, której część będzie stanowił magazyn energii elektrycznej, pod </w:t>
      </w:r>
      <w:proofErr w:type="gramStart"/>
      <w:r>
        <w:t>warunkiem</w:t>
      </w:r>
      <w:proofErr w:type="gramEnd"/>
      <w:r>
        <w:t xml:space="preserve"> że łączna moc zainstalowana tego magazynu i moc przyłączeniowa instalacji odbiorcy końcowego jest nie większa niż 5 MW,</w:t>
      </w:r>
    </w:p>
    <w:p w14:paraId="18F29C1A" w14:textId="05C5E238" w:rsidR="0023769D" w:rsidRPr="00CC2CFB" w:rsidRDefault="00D77425" w:rsidP="005B7C3F">
      <w:pPr>
        <w:pStyle w:val="Normalny3"/>
      </w:pPr>
      <w:r>
        <w:t>OSD zapewnia sporządzenie ekspertyzy, w tym także na żądanie Prezesa URE.</w:t>
      </w:r>
      <w:r w:rsidR="0023769D" w:rsidRPr="00CC2CFB">
        <w:t xml:space="preserve"> </w:t>
      </w:r>
      <w:bookmarkEnd w:id="16"/>
    </w:p>
    <w:p w14:paraId="756DC4C0" w14:textId="2602687A" w:rsidR="0023769D" w:rsidRPr="00CC2CFB" w:rsidRDefault="00DF48A0" w:rsidP="0052034A">
      <w:pPr>
        <w:pStyle w:val="drugi"/>
      </w:pPr>
      <w:bookmarkStart w:id="17" w:name="_Hlk99095484"/>
      <w:r w:rsidRPr="00DF48A0">
        <w:t xml:space="preserve">wydanie przez </w:t>
      </w:r>
      <w:r>
        <w:t>OSD</w:t>
      </w:r>
      <w:r w:rsidRPr="00DF48A0">
        <w:t xml:space="preserve"> warunków przyłączenia oraz przekazanie ich podmiotowi wraz z projektem umowy o przyłączenie, w formie pisemnej, dokumentowej lub elektronicznej</w:t>
      </w:r>
      <w:r w:rsidR="0023769D" w:rsidRPr="00CC2CFB">
        <w:t xml:space="preserve">, </w:t>
      </w:r>
      <w:bookmarkEnd w:id="17"/>
    </w:p>
    <w:p w14:paraId="0F21E174" w14:textId="5672445D" w:rsidR="0023769D" w:rsidRPr="00CC2CFB" w:rsidRDefault="0023769D" w:rsidP="0052034A">
      <w:pPr>
        <w:pStyle w:val="drugi"/>
      </w:pPr>
      <w:bookmarkStart w:id="18" w:name="_Hlk99095493"/>
      <w:r w:rsidRPr="00CC2CFB">
        <w:t xml:space="preserve">zawarcie umowy o przyłączenie, </w:t>
      </w:r>
      <w:bookmarkEnd w:id="18"/>
    </w:p>
    <w:p w14:paraId="21D2E19B" w14:textId="03743F66" w:rsidR="0023769D" w:rsidRPr="00CC2CFB" w:rsidRDefault="0023769D" w:rsidP="0052034A">
      <w:pPr>
        <w:pStyle w:val="drugi"/>
      </w:pPr>
      <w:bookmarkStart w:id="19" w:name="_Hlk99095505"/>
      <w:r w:rsidRPr="00CC2CFB">
        <w:t xml:space="preserve">realizację przyłączenia tj. realizację przyłącza(-y) oraz niezbędnych zmian/dostosowania w sieci i prac dla realizacji przyłączenia, </w:t>
      </w:r>
      <w:bookmarkEnd w:id="19"/>
    </w:p>
    <w:p w14:paraId="3225AF35" w14:textId="04C6915D" w:rsidR="0023769D" w:rsidRPr="00CC2CFB" w:rsidRDefault="0023769D" w:rsidP="0052034A">
      <w:pPr>
        <w:pStyle w:val="drugi"/>
      </w:pPr>
      <w:bookmarkStart w:id="20" w:name="_Hlk99095516"/>
      <w:r w:rsidRPr="00CC2CFB">
        <w:t xml:space="preserve">przeprowadzenie prób i odbiorów częściowych oraz prób końcowych i ostatecznego odbioru rozbudowywanej sieci i przyłącza. </w:t>
      </w:r>
      <w:r w:rsidR="00F3239B" w:rsidRPr="006B2BD0">
        <w:t>OSD</w:t>
      </w:r>
      <w:r w:rsidRPr="00CC2CFB">
        <w:t xml:space="preserve"> zastrzega sobie prawo dokonania sprawdzenia przyłączanych instalacji, urządzeń i sieci, </w:t>
      </w:r>
      <w:bookmarkEnd w:id="20"/>
    </w:p>
    <w:p w14:paraId="6ABF4B0F" w14:textId="75249EA6" w:rsidR="0023769D" w:rsidRPr="00CC2CFB" w:rsidRDefault="0023769D" w:rsidP="0052034A">
      <w:pPr>
        <w:pStyle w:val="drugi"/>
      </w:pPr>
      <w:bookmarkStart w:id="21" w:name="_Hlk99095536"/>
      <w:r w:rsidRPr="00CC2CFB">
        <w:t>pozyskani</w:t>
      </w:r>
      <w:r w:rsidR="00D77425">
        <w:t>e</w:t>
      </w:r>
      <w:r w:rsidRPr="00CC2CFB">
        <w:t xml:space="preserve"> ostatecznego pozwolenia na użytkowanie obiektu </w:t>
      </w:r>
      <w:r w:rsidR="00D77425">
        <w:t>w przypadkach, o których mowa w</w:t>
      </w:r>
      <w:r w:rsidRPr="00CC2CFB">
        <w:t xml:space="preserve"> NC </w:t>
      </w:r>
      <w:proofErr w:type="spellStart"/>
      <w:r w:rsidRPr="00CC2CFB">
        <w:t>RfG</w:t>
      </w:r>
      <w:proofErr w:type="spellEnd"/>
      <w:r w:rsidRPr="00CC2CFB">
        <w:t xml:space="preserve">, </w:t>
      </w:r>
      <w:bookmarkEnd w:id="21"/>
    </w:p>
    <w:p w14:paraId="47AF713D" w14:textId="2FAE2932" w:rsidR="0023769D" w:rsidRPr="00CC2CFB" w:rsidRDefault="0023769D" w:rsidP="0052034A">
      <w:pPr>
        <w:pStyle w:val="drugi"/>
      </w:pPr>
      <w:bookmarkStart w:id="22" w:name="_Hlk99095548"/>
      <w:r w:rsidRPr="00CC2CFB">
        <w:t>zawarcie przez podmiot umowy o świadczenie usług dystrybucji albo umowy kompleksowej.</w:t>
      </w:r>
      <w:r w:rsidR="00D77425">
        <w:t>”</w:t>
      </w:r>
      <w:r w:rsidRPr="00CC2CFB">
        <w:t xml:space="preserve"> </w:t>
      </w:r>
      <w:bookmarkEnd w:id="22"/>
    </w:p>
    <w:p w14:paraId="78D8115B" w14:textId="2DC4899A" w:rsidR="0023769D" w:rsidRPr="00CC2CFB" w:rsidRDefault="0052034A" w:rsidP="0091646E">
      <w:pPr>
        <w:pStyle w:val="pierwszy"/>
      </w:pPr>
      <w:r>
        <w:t xml:space="preserve">W punkcie II.I.20. </w:t>
      </w:r>
      <w:r w:rsidR="00813740">
        <w:t>po</w:t>
      </w:r>
      <w:r>
        <w:t xml:space="preserve"> pierwszym zdaniu dodaje się następujące zdanie: „Do zgłoszenia przyłączenia </w:t>
      </w:r>
      <w:proofErr w:type="spellStart"/>
      <w:r>
        <w:t>mikroinstalacji</w:t>
      </w:r>
      <w:proofErr w:type="spellEnd"/>
      <w:r>
        <w:t xml:space="preserve"> stosuje się zapisy pkt II.1.2. </w:t>
      </w:r>
      <w:proofErr w:type="spellStart"/>
      <w:r>
        <w:t>ppkt</w:t>
      </w:r>
      <w:proofErr w:type="spellEnd"/>
      <w:r>
        <w:t xml:space="preserve"> 3).</w:t>
      </w:r>
      <w:r w:rsidR="0023769D" w:rsidRPr="00CC2CFB">
        <w:t xml:space="preserve">”. </w:t>
      </w:r>
    </w:p>
    <w:p w14:paraId="71D6F2C1" w14:textId="38BF156B" w:rsidR="0052034A" w:rsidRDefault="0052034A" w:rsidP="0091646E">
      <w:pPr>
        <w:pStyle w:val="pierwszy"/>
      </w:pPr>
      <w:r>
        <w:t>W punkcie II.1.20. podpunkty od 1) do 8) otrzymują następującą treść:</w:t>
      </w:r>
    </w:p>
    <w:p w14:paraId="15A5776D" w14:textId="0B6D9CE8" w:rsidR="0052034A" w:rsidRPr="0052034A" w:rsidRDefault="0052034A" w:rsidP="005B7C3F">
      <w:pPr>
        <w:pStyle w:val="NormalnyIRIESD"/>
      </w:pPr>
      <w:r>
        <w:t>„</w:t>
      </w:r>
    </w:p>
    <w:p w14:paraId="1EB03558" w14:textId="61C367DD" w:rsidR="0052034A" w:rsidRDefault="0052034A" w:rsidP="00817551">
      <w:pPr>
        <w:pStyle w:val="drugi"/>
        <w:numPr>
          <w:ilvl w:val="0"/>
          <w:numId w:val="28"/>
        </w:numPr>
      </w:pPr>
      <w:r>
        <w:t xml:space="preserve">oznaczenie podmiotu ubiegającego się o przyłączenie </w:t>
      </w:r>
      <w:proofErr w:type="spellStart"/>
      <w:r>
        <w:t>mikroinstalacji</w:t>
      </w:r>
      <w:proofErr w:type="spellEnd"/>
      <w:r>
        <w:t xml:space="preserve"> do sieci dystrybucyjnej, dane osoby do kontaktu oraz adres korespondencyjny,</w:t>
      </w:r>
    </w:p>
    <w:p w14:paraId="6FA469E7" w14:textId="14764A6F" w:rsidR="0052034A" w:rsidRDefault="0052034A" w:rsidP="00817551">
      <w:pPr>
        <w:pStyle w:val="drugi"/>
        <w:numPr>
          <w:ilvl w:val="0"/>
          <w:numId w:val="28"/>
        </w:numPr>
      </w:pPr>
      <w:r>
        <w:t xml:space="preserve">dane dotyczące lokalizacji </w:t>
      </w:r>
      <w:proofErr w:type="gramStart"/>
      <w:r w:rsidR="00DF48A0">
        <w:t>obi</w:t>
      </w:r>
      <w:r>
        <w:t>ektu</w:t>
      </w:r>
      <w:proofErr w:type="gramEnd"/>
      <w:r>
        <w:t xml:space="preserve"> w którym zainstalowano </w:t>
      </w:r>
      <w:proofErr w:type="spellStart"/>
      <w:r>
        <w:t>mikroinstalację</w:t>
      </w:r>
      <w:proofErr w:type="spellEnd"/>
      <w:r>
        <w:t>, w tym numer licznika lub kod punktu poboru energii (PPE),</w:t>
      </w:r>
    </w:p>
    <w:p w14:paraId="3A8B71B0" w14:textId="77777777" w:rsidR="0052034A" w:rsidRDefault="0052034A" w:rsidP="00817551">
      <w:pPr>
        <w:pStyle w:val="drugi"/>
        <w:numPr>
          <w:ilvl w:val="0"/>
          <w:numId w:val="28"/>
        </w:numPr>
      </w:pPr>
      <w:r>
        <w:t xml:space="preserve">rodzaj </w:t>
      </w:r>
      <w:proofErr w:type="spellStart"/>
      <w:r>
        <w:t>mikroinstalacji</w:t>
      </w:r>
      <w:proofErr w:type="spellEnd"/>
      <w:r>
        <w:t>,</w:t>
      </w:r>
    </w:p>
    <w:p w14:paraId="1F538944" w14:textId="77777777" w:rsidR="0052034A" w:rsidRDefault="0052034A" w:rsidP="00817551">
      <w:pPr>
        <w:pStyle w:val="drugi"/>
        <w:numPr>
          <w:ilvl w:val="0"/>
          <w:numId w:val="28"/>
        </w:numPr>
      </w:pPr>
      <w:r>
        <w:t>moc zainstalowaną elektryczną,</w:t>
      </w:r>
    </w:p>
    <w:p w14:paraId="07B2C213" w14:textId="77777777" w:rsidR="0052034A" w:rsidRDefault="0052034A" w:rsidP="00817551">
      <w:pPr>
        <w:pStyle w:val="drugi"/>
        <w:numPr>
          <w:ilvl w:val="0"/>
          <w:numId w:val="28"/>
        </w:numPr>
      </w:pPr>
      <w:r>
        <w:t>moc znamionową falownika po stronie AC – w przypadku przyłączenia poprzez falownik,</w:t>
      </w:r>
    </w:p>
    <w:p w14:paraId="6F582C61" w14:textId="67DFA55F" w:rsidR="0052034A" w:rsidRDefault="0052034A" w:rsidP="00817551">
      <w:pPr>
        <w:pStyle w:val="drugi"/>
        <w:numPr>
          <w:ilvl w:val="0"/>
          <w:numId w:val="28"/>
        </w:numPr>
      </w:pPr>
      <w:r>
        <w:t>typ instalacji, w której m</w:t>
      </w:r>
      <w:r w:rsidR="00813740">
        <w:t>a</w:t>
      </w:r>
      <w:r>
        <w:t xml:space="preserve"> być zainstalowana </w:t>
      </w:r>
      <w:proofErr w:type="spellStart"/>
      <w:r>
        <w:t>mikroinstalacja</w:t>
      </w:r>
      <w:proofErr w:type="spellEnd"/>
      <w:r>
        <w:t>,</w:t>
      </w:r>
    </w:p>
    <w:p w14:paraId="5BF11592" w14:textId="00EC8E70" w:rsidR="00586169" w:rsidRDefault="0052034A" w:rsidP="00817551">
      <w:pPr>
        <w:pStyle w:val="drugi"/>
        <w:numPr>
          <w:ilvl w:val="0"/>
          <w:numId w:val="28"/>
        </w:numPr>
      </w:pPr>
      <w:r>
        <w:t>dane</w:t>
      </w:r>
      <w:r w:rsidR="00CC2CFB">
        <w:t xml:space="preserve"> </w:t>
      </w:r>
      <w:r>
        <w:t xml:space="preserve">techniczne zainstalowanej </w:t>
      </w:r>
      <w:proofErr w:type="spellStart"/>
      <w:r>
        <w:t>mikroinstalacji</w:t>
      </w:r>
      <w:proofErr w:type="spellEnd"/>
      <w:r>
        <w:t>,</w:t>
      </w:r>
    </w:p>
    <w:p w14:paraId="0E210A26" w14:textId="04E4626D" w:rsidR="0052034A" w:rsidRDefault="0052034A" w:rsidP="0052034A">
      <w:pPr>
        <w:pStyle w:val="drugi"/>
      </w:pPr>
      <w:r>
        <w:t xml:space="preserve">oświadczenie, że </w:t>
      </w:r>
      <w:proofErr w:type="spellStart"/>
      <w:r>
        <w:t>mikroinstalacja</w:t>
      </w:r>
      <w:proofErr w:type="spellEnd"/>
      <w:r>
        <w:t xml:space="preserve"> jest wybudowana zgodnie z obowiązującymi przepisami i</w:t>
      </w:r>
      <w:r w:rsidR="00DF48A0">
        <w:t> </w:t>
      </w:r>
      <w:r>
        <w:t>zasadami wiedzy technicznej oraz spełnia wymogi techniczne i eksploatacyjne zawarte w</w:t>
      </w:r>
      <w:r w:rsidR="00DF48A0">
        <w:t> </w:t>
      </w:r>
      <w:r>
        <w:t>art.</w:t>
      </w:r>
      <w:r w:rsidR="00DF48A0">
        <w:t> </w:t>
      </w:r>
      <w:r>
        <w:t>7a Ustawy,”</w:t>
      </w:r>
    </w:p>
    <w:p w14:paraId="347A3D76" w14:textId="79DD9E98" w:rsidR="0037798E" w:rsidRDefault="0037798E" w:rsidP="0037798E">
      <w:pPr>
        <w:pStyle w:val="pierwszy"/>
      </w:pPr>
      <w:r>
        <w:t xml:space="preserve">W punkcie </w:t>
      </w:r>
      <w:r w:rsidR="00A86DB4" w:rsidRPr="00A86DB4">
        <w:t>II.3.2.9 pierwsze zdanie otrzymuje następujące brzmienie</w:t>
      </w:r>
      <w:r>
        <w:t>:</w:t>
      </w:r>
    </w:p>
    <w:p w14:paraId="208DE9D2" w14:textId="203FC8E3" w:rsidR="0037798E" w:rsidRPr="0037798E" w:rsidRDefault="00A86DB4" w:rsidP="005B7C3F">
      <w:pPr>
        <w:pStyle w:val="NormalnyIRIESD"/>
      </w:pPr>
      <w:r w:rsidRPr="00A86DB4">
        <w:t>„Wymiana informacji o których mowa w pkt. II.3.2., między OSD i sprzedawcą odbywa się za pośrednictwem systemów informatycznych, o których mowa w pkt. A.9.1. lub za pośrednictwem dedykowanego adresu poczty elektronicznej”</w:t>
      </w:r>
    </w:p>
    <w:p w14:paraId="1835AA1B" w14:textId="77777777" w:rsidR="009425C7" w:rsidRDefault="009425C7" w:rsidP="0091646E">
      <w:pPr>
        <w:pStyle w:val="pierwszy"/>
      </w:pPr>
      <w:r>
        <w:t>Punkt IV.3.1.1 otrzymuje brzmienie</w:t>
      </w:r>
      <w:r w:rsidR="0023769D" w:rsidRPr="00CC2CFB">
        <w:t>:</w:t>
      </w:r>
    </w:p>
    <w:p w14:paraId="204CE42D" w14:textId="77777777" w:rsidR="009425C7" w:rsidRDefault="009425C7" w:rsidP="005B7C3F">
      <w:pPr>
        <w:pStyle w:val="NormalnyIRIESD"/>
      </w:pPr>
      <w:r>
        <w:t>„Ograniczenia w dostarczaniu i poborze energii elektrycznej mogą być wprowadzone przez:</w:t>
      </w:r>
    </w:p>
    <w:p w14:paraId="45450603" w14:textId="24C3224C" w:rsidR="0023769D" w:rsidRDefault="009425C7" w:rsidP="00817551">
      <w:pPr>
        <w:pStyle w:val="drugi0"/>
        <w:numPr>
          <w:ilvl w:val="0"/>
          <w:numId w:val="29"/>
        </w:numPr>
      </w:pPr>
      <w:r>
        <w:t>OSP, do czasu wejścia w życie przepisów, o których mowa w lit. b) jednak nie dłużej niż na okres 72 godzin – w przypadku wystąpienia zagrożenia bezpieczeństwa dostaw energii elektrycznej,</w:t>
      </w:r>
    </w:p>
    <w:p w14:paraId="6D077CB2" w14:textId="14C49847" w:rsidR="009425C7" w:rsidRPr="009425C7" w:rsidRDefault="009425C7" w:rsidP="00D702F8">
      <w:pPr>
        <w:pStyle w:val="drugi0"/>
      </w:pPr>
      <w:r>
        <w:t>Radę Ministrów w drodze rozporządzenia, na podstawie art. 11 ust. 7 Ustawy – w przypadkach, o których mowa w pkt IV.3.2.1.”</w:t>
      </w:r>
    </w:p>
    <w:p w14:paraId="673B9CF0" w14:textId="77777777" w:rsidR="009425C7" w:rsidRDefault="009425C7" w:rsidP="0091646E">
      <w:pPr>
        <w:pStyle w:val="pierwszy"/>
      </w:pPr>
      <w:r>
        <w:t>Punkt IV.3.2. otrzymuje brzmienie:</w:t>
      </w:r>
    </w:p>
    <w:p w14:paraId="768FDD42" w14:textId="77777777" w:rsidR="009425C7" w:rsidRDefault="009425C7" w:rsidP="005B7C3F">
      <w:pPr>
        <w:pStyle w:val="NormalnyIRiESDgruby"/>
      </w:pPr>
      <w:r>
        <w:t>„IV.3.2. Tryb normalny</w:t>
      </w:r>
    </w:p>
    <w:p w14:paraId="68D5CB55" w14:textId="7C1B4B1E" w:rsidR="00563A08" w:rsidRDefault="009425C7" w:rsidP="005B7C3F">
      <w:pPr>
        <w:pStyle w:val="NormalnyIRIESD"/>
      </w:pPr>
      <w:r>
        <w:t xml:space="preserve">IV.3.2.1. </w:t>
      </w:r>
      <w:r w:rsidR="007A5485" w:rsidRPr="007A5485">
        <w:t>Ograniczenia w trybie normalnym wprowadza Rada Ministrów, w drodze rozporządzenia, wydanego na podstawie Ustawy, na wniosek ministra właściwego do spraw energii. Ograniczenia w dostarczaniu i poborze energii elektrycznej wprowadzane są na czas oznaczony, na terytorium Rzeczypospolitej Polskiej lub jego części, w przypadku wystąpienia zagrożenia</w:t>
      </w:r>
      <w:r w:rsidR="00563A08">
        <w:t>:</w:t>
      </w:r>
    </w:p>
    <w:p w14:paraId="26A6FE30" w14:textId="6B6A8F59" w:rsidR="0023769D" w:rsidRDefault="00563A08" w:rsidP="00817551">
      <w:pPr>
        <w:pStyle w:val="drugi0"/>
        <w:numPr>
          <w:ilvl w:val="0"/>
          <w:numId w:val="30"/>
        </w:numPr>
      </w:pPr>
      <w:r>
        <w:t>bezpieczeństwa energetycznego Rzeczypospolitej Polskiej polegającego na długookresowym braku równowagi na rynku paliwowo – energetycznym,</w:t>
      </w:r>
    </w:p>
    <w:p w14:paraId="7126752F" w14:textId="7CFEDA02" w:rsidR="00563A08" w:rsidRDefault="00563A08" w:rsidP="00D702F8">
      <w:pPr>
        <w:pStyle w:val="drugi0"/>
      </w:pPr>
      <w:r>
        <w:t>bezpieczeństwa dostaw energii elektrycznej,</w:t>
      </w:r>
    </w:p>
    <w:p w14:paraId="57FE7E54" w14:textId="2CD7EADA" w:rsidR="00563A08" w:rsidRDefault="00563A08" w:rsidP="00D702F8">
      <w:pPr>
        <w:pStyle w:val="drugi0"/>
      </w:pPr>
      <w:r>
        <w:t>bezpieczeństwa osób,</w:t>
      </w:r>
    </w:p>
    <w:p w14:paraId="72598635" w14:textId="3D683C2B" w:rsidR="00563A08" w:rsidRDefault="00563A08" w:rsidP="00D702F8">
      <w:pPr>
        <w:pStyle w:val="drugi0"/>
      </w:pPr>
      <w:r>
        <w:t>wystąpienia znacznych strat materialnych.</w:t>
      </w:r>
    </w:p>
    <w:p w14:paraId="62D91044" w14:textId="55D2A200" w:rsidR="00563A08" w:rsidRDefault="00563A08" w:rsidP="005B7C3F">
      <w:pPr>
        <w:pStyle w:val="NormalnyIRIESD"/>
      </w:pPr>
      <w:r>
        <w:t>Ograniczenia w dostarczaniu i poborze energii elektrycznej mogą być wprowadzane po wyczerpaniu, przez OS</w:t>
      </w:r>
      <w:r w:rsidR="007A5485">
        <w:t>P</w:t>
      </w:r>
      <w:r w:rsidR="00111E15">
        <w:t xml:space="preserve">, </w:t>
      </w:r>
      <w:proofErr w:type="spellStart"/>
      <w:r w:rsidR="00111E15">
        <w:t>OSDp</w:t>
      </w:r>
      <w:proofErr w:type="spellEnd"/>
      <w:r>
        <w:t xml:space="preserve"> i OSD we współpracy z zainteresowanymi podmiotami, wszelkich dostępnych środków, o których mowa w </w:t>
      </w:r>
      <w:proofErr w:type="spellStart"/>
      <w:r>
        <w:t>IRiESP</w:t>
      </w:r>
      <w:proofErr w:type="spellEnd"/>
      <w:r>
        <w:t>, służących do zapewnienia prawidłowego funkcjonowania systemu elektroenergetycznego, przy dochowaniu należytej staranności.</w:t>
      </w:r>
    </w:p>
    <w:p w14:paraId="0C4EDAA6" w14:textId="5B4C9B54" w:rsidR="00563A08" w:rsidRDefault="00563A08" w:rsidP="005B7C3F">
      <w:pPr>
        <w:pStyle w:val="NormalnyIRIESD"/>
      </w:pPr>
      <w:r>
        <w:t>IV.3.2.2. Wniosek, o którym mowa w pkt IV.3.2.1., sporządza minister właściwy do spraw energii z własnej inicjatywy lub na podstawie zgłoszenia OSP.</w:t>
      </w:r>
    </w:p>
    <w:p w14:paraId="24EFCA4C" w14:textId="02DCDA59" w:rsidR="00563A08" w:rsidRDefault="00563A08" w:rsidP="005B7C3F">
      <w:pPr>
        <w:pStyle w:val="NormalnyIRIESD"/>
      </w:pPr>
      <w:r>
        <w:t>IV.3.2.3. OSD we współpracy z OS</w:t>
      </w:r>
      <w:r w:rsidR="00970487">
        <w:t>P</w:t>
      </w:r>
      <w:r>
        <w:t xml:space="preserve"> za pośrednictwem </w:t>
      </w:r>
      <w:proofErr w:type="spellStart"/>
      <w:r>
        <w:t>OSDp</w:t>
      </w:r>
      <w:proofErr w:type="spellEnd"/>
      <w:r>
        <w:t xml:space="preserve"> opracowuje plany wprowadzania ograniczeń w dostarczaniu i poborze energii elektrycznej na wypadek wystąpienia okoliczności powołanych w pkt IV.3.2.1. Ograniczenia w dostarczaniu i poborze energii elektrycznej nie mogą powodować:</w:t>
      </w:r>
    </w:p>
    <w:p w14:paraId="4C821D15" w14:textId="4CE57A27" w:rsidR="00563A08" w:rsidRDefault="00563A08" w:rsidP="00817551">
      <w:pPr>
        <w:pStyle w:val="drugi0"/>
        <w:numPr>
          <w:ilvl w:val="0"/>
          <w:numId w:val="31"/>
        </w:numPr>
      </w:pPr>
      <w:r>
        <w:t>bezpośredniego zagrożenia życia lub zdrowia osób,</w:t>
      </w:r>
    </w:p>
    <w:p w14:paraId="1A8C0489" w14:textId="27ED11BD" w:rsidR="00563A08" w:rsidRDefault="00563A08" w:rsidP="00D702F8">
      <w:pPr>
        <w:pStyle w:val="drugi0"/>
      </w:pPr>
      <w:r>
        <w:t>uszkodzenia lub zniszczenia urządzeń lub ich zespołów – wykorzystywanych bezpośrednio w</w:t>
      </w:r>
      <w:r w:rsidR="00EC4259">
        <w:t> </w:t>
      </w:r>
      <w:r>
        <w:t>procesach technologicznych,</w:t>
      </w:r>
    </w:p>
    <w:p w14:paraId="712578BD" w14:textId="51D3DDB2" w:rsidR="00563A08" w:rsidRDefault="00563A08" w:rsidP="00D702F8">
      <w:pPr>
        <w:pStyle w:val="drugi0"/>
      </w:pPr>
      <w:r>
        <w:t>zakłóceń w funkcjonowaniu urządzeń lub ich zespołów – przeznaczonych bezpośrednio do wytwarzani, przesyłania lub dystrybucji energii elektrycznej lub ciepła lub do wydobycia, przesyłania lub dystrybucji paliw gazowych.</w:t>
      </w:r>
    </w:p>
    <w:p w14:paraId="47ECDFC3" w14:textId="68101EC9" w:rsidR="00563A08" w:rsidRDefault="00563A08" w:rsidP="005B7C3F">
      <w:pPr>
        <w:pStyle w:val="NormalnyIRIESD"/>
      </w:pPr>
      <w:r>
        <w:t xml:space="preserve">IV.3.2.4. </w:t>
      </w:r>
      <w:r w:rsidR="00EC4259" w:rsidRPr="00EC4259">
        <w:t>Ograniczenia w dostarczaniu i poborze energii elektrycznej wprowadzane w trybie normalnym dotyczą odbiorców w zakresie posiadanego przez nich obiektu, dla którego określona w</w:t>
      </w:r>
      <w:r w:rsidR="00EC4259">
        <w:t> </w:t>
      </w:r>
      <w:r w:rsidR="00EC4259" w:rsidRPr="00EC4259">
        <w:t xml:space="preserve">umowach dystrybucyjnych i kompleksowych łączna wielkość mocy umownej wynosi co najmniej 300 </w:t>
      </w:r>
      <w:proofErr w:type="spellStart"/>
      <w:r w:rsidR="00EC4259" w:rsidRPr="00EC4259">
        <w:t>kW</w:t>
      </w:r>
      <w:r w:rsidR="00E45A32">
        <w:t>.</w:t>
      </w:r>
      <w:proofErr w:type="spellEnd"/>
    </w:p>
    <w:p w14:paraId="39F4CF82" w14:textId="66D53F2A" w:rsidR="00E45A32" w:rsidRDefault="00E45A32" w:rsidP="005B7C3F">
      <w:pPr>
        <w:pStyle w:val="NormalnyIRIESD"/>
      </w:pPr>
      <w:r>
        <w:t xml:space="preserve">IV.3.2.5. </w:t>
      </w:r>
      <w:r w:rsidR="00EC4259" w:rsidRPr="00EC4259">
        <w:t>W przypadku, gdy odbiorca posiada więcej niż jeden obiekt, ograniczenia w dostarczaniu i poborze energii elektrycznej dotyczą każdego z obiektów, dla którego określona w umowach dystrybucyjnych i kompleksowych, łączna wielkość mocy umownej została ustalona w wysokości, o której mowa w pkt IV.3.2.4</w:t>
      </w:r>
      <w:r>
        <w:t>.</w:t>
      </w:r>
    </w:p>
    <w:p w14:paraId="608F1291" w14:textId="399A285A" w:rsidR="00E45A32" w:rsidRDefault="00E45A32" w:rsidP="005B7C3F">
      <w:pPr>
        <w:pStyle w:val="NormalnyIRIESD"/>
      </w:pPr>
      <w:r>
        <w:t xml:space="preserve">IV.3.2.6 </w:t>
      </w:r>
      <w:r w:rsidR="00EC4259" w:rsidRPr="00EC4259">
        <w:t>W przypadku, gdy obiekt jest przyłączony do sieci więcej niż jednego OSD, zasadę, o której mowa w pkt IV.3.2.4. stosuje się odrębnie dla każdego OSD, dla sumy mocy umownych określonych w umowach dystrybucyjnych i kompleksowych zawartych z tym OSD. Mocy umownych dla danego obiektu, które są określone w umowach dystrybucyjnych i kompleksowych zawartych z różnymi OSD, nie sumuje się</w:t>
      </w:r>
      <w:r>
        <w:t>.</w:t>
      </w:r>
    </w:p>
    <w:p w14:paraId="59F2452C" w14:textId="564A274D" w:rsidR="00E45A32" w:rsidRDefault="00E45A32" w:rsidP="005B7C3F">
      <w:pPr>
        <w:pStyle w:val="NormalnyIRIESD"/>
      </w:pPr>
      <w:r>
        <w:t xml:space="preserve">IV.3.2.7. </w:t>
      </w:r>
      <w:r w:rsidR="00EC4259">
        <w:t xml:space="preserve">W </w:t>
      </w:r>
      <w:r w:rsidR="00EC4259" w:rsidRPr="00EC4259">
        <w:t>przypadku, gdy odbiorca posiada obiekt, dla którego określona w umowach dystrybucyjnych i kompleksowych łączna wielkość mocy umownej może być różna w</w:t>
      </w:r>
      <w:r w:rsidR="00EC4259">
        <w:t> </w:t>
      </w:r>
      <w:r w:rsidR="00EC4259" w:rsidRPr="00EC4259">
        <w:t>poszczególnych miesiącach, w zakresie tego obiektu odbiorca ten podlega ochronie przed ograniczeniami w tych miesiącach, dla których łączna wielkość mocy umownej ustalona została poniżej wysokości, o której mowa w pkt IV.3.2.4</w:t>
      </w:r>
      <w:r>
        <w:t>.</w:t>
      </w:r>
    </w:p>
    <w:p w14:paraId="34BA1FD6" w14:textId="62012C82" w:rsidR="005B7C3F" w:rsidRDefault="005B7C3F" w:rsidP="005B7C3F">
      <w:pPr>
        <w:pStyle w:val="NormalnyIRIESD"/>
      </w:pPr>
      <w:r>
        <w:t xml:space="preserve">IV.3.2.8. </w:t>
      </w:r>
      <w:proofErr w:type="spellStart"/>
      <w:r>
        <w:t>OSDn</w:t>
      </w:r>
      <w:proofErr w:type="spellEnd"/>
      <w:r>
        <w:t>, w zakresie posiadanego obiektu przyłączonego do jego własnej sieci i</w:t>
      </w:r>
      <w:r w:rsidR="00AA71C4">
        <w:t> </w:t>
      </w:r>
      <w:r>
        <w:t>podlegającego ograniczeniom, opracowuje taki sam plan jak w przypadku obiektu przyłączonego do tej sieci i uwzględnia go w planie wprowadzania ograniczeń przekazywanym do OSD, w terminie określonym w pkt. IV.3.2.18.</w:t>
      </w:r>
    </w:p>
    <w:p w14:paraId="63551A98" w14:textId="78D4D6AE" w:rsidR="005B7C3F" w:rsidRDefault="005B7C3F" w:rsidP="005B7C3F">
      <w:pPr>
        <w:pStyle w:val="NormalnyIRIESD"/>
      </w:pPr>
      <w:r>
        <w:t xml:space="preserve">IV.3.2.9. </w:t>
      </w:r>
      <w:r w:rsidR="00F165D8" w:rsidRPr="00F165D8">
        <w:t xml:space="preserve">Opracowany przez </w:t>
      </w:r>
      <w:r w:rsidR="00F165D8">
        <w:t>OSD</w:t>
      </w:r>
      <w:r w:rsidR="00F165D8" w:rsidRPr="00F165D8">
        <w:t xml:space="preserve"> plan wprowadzania ograniczeń dla odbiorcy w zakresie posiadanego przez niego obiektu może być korygowany w przypadku, o którym mowa w pkt IV.3.2.13., lub aktualizowany w okresie, na jaki został opracowany. Zdania pierwszego nie stosuje się w okresie obowiązywania ograniczeń w dostarczaniu i poborze energii elektrycznej wprowadzanych na podstawie pkt IV.3.2.1</w:t>
      </w:r>
      <w:r>
        <w:t>.</w:t>
      </w:r>
    </w:p>
    <w:p w14:paraId="4D6A737F" w14:textId="2DA12135" w:rsidR="005B7C3F" w:rsidRDefault="00F165D8" w:rsidP="005B7C3F">
      <w:pPr>
        <w:pStyle w:val="NormalnyIRIESD"/>
      </w:pPr>
      <w:r w:rsidRPr="00F165D8">
        <w:t>Dla istniejącego obiektu, zmiana mocy umownej lub przyłączenie nowego przyłącza, nie wymaga aktualizacji planu wprowadzania ograniczeń dla odbiorcy</w:t>
      </w:r>
      <w:r w:rsidR="005B7C3F">
        <w:t>.</w:t>
      </w:r>
    </w:p>
    <w:p w14:paraId="6E7B25A4" w14:textId="678A5252" w:rsidR="005B7C3F" w:rsidRDefault="005B7C3F" w:rsidP="005B7C3F">
      <w:pPr>
        <w:pStyle w:val="NormalnyIRIESD"/>
      </w:pPr>
      <w:r>
        <w:t xml:space="preserve">IV.3.2.10. </w:t>
      </w:r>
      <w:r w:rsidR="00363528" w:rsidRPr="00363528">
        <w:t>Ochronie przed wprowadzanymi ograniczeniami w dostarczaniu i poborze energii elektrycznej podlega odbiorca w zakresie posiadanego przez siebie obiektu przez cały okres, dla którego określona w umowach dystrybucyjnych lub kompleksowych łączna wielkość mocy umownej wynosi poniżej 300 kW, oraz w zakresie obiektu</w:t>
      </w:r>
      <w:r>
        <w:t>:</w:t>
      </w:r>
    </w:p>
    <w:p w14:paraId="426BF345" w14:textId="17152480" w:rsidR="005B7C3F" w:rsidRDefault="005B7C3F" w:rsidP="00817551">
      <w:pPr>
        <w:pStyle w:val="trzeci0"/>
        <w:numPr>
          <w:ilvl w:val="0"/>
          <w:numId w:val="32"/>
        </w:numPr>
      </w:pPr>
      <w:r>
        <w:t>będącego szpitalem i innym obiektem ratownictwa medycznego;</w:t>
      </w:r>
    </w:p>
    <w:p w14:paraId="2125FCA6" w14:textId="584373F1" w:rsidR="005B7C3F" w:rsidRDefault="005B7C3F" w:rsidP="005B7C3F">
      <w:pPr>
        <w:pStyle w:val="trzeci0"/>
      </w:pPr>
      <w:r>
        <w:t>wymienionego w przepisach wydanych na podstawie art. 6 ust. 2 pkt 4 ustawy z dnia 21</w:t>
      </w:r>
      <w:r w:rsidR="00363528">
        <w:t> </w:t>
      </w:r>
      <w:r>
        <w:t>listopada 1967 r. o powszechnym obowiązku obrony Rzeczypospolitej Polskiej (Dz.U. z</w:t>
      </w:r>
      <w:r w:rsidR="00363528">
        <w:t> </w:t>
      </w:r>
      <w:r>
        <w:t xml:space="preserve">2021 r. poz. 372 z </w:t>
      </w:r>
      <w:proofErr w:type="spellStart"/>
      <w:r>
        <w:t>późn</w:t>
      </w:r>
      <w:proofErr w:type="spellEnd"/>
      <w:r>
        <w:t>. zm.);</w:t>
      </w:r>
    </w:p>
    <w:p w14:paraId="0990818A" w14:textId="2AD8F76E" w:rsidR="005B7C3F" w:rsidRDefault="005B7C3F" w:rsidP="005B7C3F">
      <w:pPr>
        <w:pStyle w:val="trzeci0"/>
      </w:pPr>
      <w:r>
        <w:t>wykorzystywanego bezpośrednio do:</w:t>
      </w:r>
    </w:p>
    <w:p w14:paraId="60990F60" w14:textId="1117E99C" w:rsidR="005B7C3F" w:rsidRDefault="00627ADD" w:rsidP="00627ADD">
      <w:pPr>
        <w:pStyle w:val="i"/>
        <w:ind w:left="1548"/>
      </w:pPr>
      <w:r>
        <w:t>nadawania programów radiowych i telewizyjnych o zasięgu ogólnokrajowym,</w:t>
      </w:r>
    </w:p>
    <w:p w14:paraId="5D69B8FF" w14:textId="6CC4AA68" w:rsidR="00627ADD" w:rsidRDefault="00627ADD" w:rsidP="00627ADD">
      <w:pPr>
        <w:pStyle w:val="i"/>
        <w:ind w:left="1548"/>
      </w:pPr>
      <w:r>
        <w:t>zapewnienia przewozu lotniczego, transportu kolejowego i publicznego transportu zbiorowego,</w:t>
      </w:r>
    </w:p>
    <w:p w14:paraId="4FCA4EB1" w14:textId="4F6A1C0A" w:rsidR="00627ADD" w:rsidRDefault="00627ADD" w:rsidP="00627ADD">
      <w:pPr>
        <w:pStyle w:val="i"/>
        <w:ind w:left="1548"/>
      </w:pPr>
      <w:r>
        <w:t>wydobywania paliw kopalnych ze złóż, ich przeróbki oraz dostarczania do odbiorców, w tym wydobywania, przesyłania lub dystrybucji paliw gazowych,</w:t>
      </w:r>
    </w:p>
    <w:p w14:paraId="34C27FC7" w14:textId="746E2C8C" w:rsidR="00627ADD" w:rsidRDefault="00627ADD" w:rsidP="00627ADD">
      <w:pPr>
        <w:pStyle w:val="i"/>
        <w:ind w:left="1548"/>
      </w:pPr>
      <w:r>
        <w:t>realizacji zadań wpływających w sposób istotny na spełnienie wymagań w zakresie ochrony środowiska, w tym odprowadzania i oczyszczania ścieków w zakresie zbiorowego odprowadzania ścieków,</w:t>
      </w:r>
    </w:p>
    <w:p w14:paraId="41AFF424" w14:textId="57536503" w:rsidR="00627ADD" w:rsidRDefault="00627ADD" w:rsidP="00627ADD">
      <w:pPr>
        <w:pStyle w:val="i"/>
        <w:ind w:left="1548"/>
      </w:pPr>
      <w:r>
        <w:t>wytwarzani</w:t>
      </w:r>
      <w:r w:rsidR="00AA71C4">
        <w:t>a</w:t>
      </w:r>
      <w:r>
        <w:t>, przesyłania lub dystrybucji energii elektrycznej lub ciepła,</w:t>
      </w:r>
    </w:p>
    <w:p w14:paraId="2998CE36" w14:textId="2EE3E8CC" w:rsidR="00627ADD" w:rsidRDefault="00627ADD" w:rsidP="00627ADD">
      <w:pPr>
        <w:pStyle w:val="i"/>
        <w:ind w:left="1548"/>
      </w:pPr>
      <w:r>
        <w:t>wykonywania przez przedsiębiorców zadań na rzecz obronności państwa w zakresie mobilizacji gospodarki, o których mowa w art. 2 pkt 1 ustawy z dnia 23 sierpnia 2002</w:t>
      </w:r>
      <w:r w:rsidR="00AB3BE9">
        <w:t> </w:t>
      </w:r>
      <w:r>
        <w:t>r. o organizowaniu zadań na rzecz obronności państwa realizowanych przez przedsiębiorców (Dz.U. z 2020 r. poz. 1669), w okresie uruchomienia programu mobilizacji gospodarki w zakresie realizacji tych zadań</w:t>
      </w:r>
    </w:p>
    <w:p w14:paraId="75A348EB" w14:textId="7D69E97F" w:rsidR="00627ADD" w:rsidRDefault="00627ADD" w:rsidP="00627ADD">
      <w:pPr>
        <w:pStyle w:val="Normalny2IRIESD"/>
      </w:pPr>
      <w:r>
        <w:t>- albo wyodrębnionej części obiektu wykorzystywanego do tych celów;</w:t>
      </w:r>
    </w:p>
    <w:p w14:paraId="632F9E80" w14:textId="080C9695" w:rsidR="00627ADD" w:rsidRDefault="00627ADD" w:rsidP="00627ADD">
      <w:pPr>
        <w:pStyle w:val="trzeci0"/>
      </w:pPr>
      <w:r>
        <w:t>stanowiącego infrastrukturę krytyczną ujętą w wykazie, o którym mowa w art. 5b ust. 7 pkt 1 ustawy z dnia 26 kwietnia 2007 r. o zarządzaniu kryzysowym (Dz.U. z 2022 r. poz. 261) zlokalizowaną na terenie Rzeczypospolitej Polskiej.</w:t>
      </w:r>
    </w:p>
    <w:p w14:paraId="65F98B39" w14:textId="5650A440" w:rsidR="00627ADD" w:rsidRDefault="00627ADD" w:rsidP="00627ADD">
      <w:pPr>
        <w:pStyle w:val="NormalnyIRIESD"/>
      </w:pPr>
      <w:r>
        <w:t xml:space="preserve">IV.3.2.11. Odbiorca będący jednocześnie </w:t>
      </w:r>
      <w:proofErr w:type="spellStart"/>
      <w:r>
        <w:t>OSDn</w:t>
      </w:r>
      <w:proofErr w:type="spellEnd"/>
      <w:r>
        <w:t>, nie podlega ograniczeniom w dostarczaniu i</w:t>
      </w:r>
      <w:r w:rsidR="00AB3BE9">
        <w:t> </w:t>
      </w:r>
      <w:r>
        <w:t>poborze energii elektrycznej w zakresie energii elektrycznej zużywanej na potrzeby wytwarzani</w:t>
      </w:r>
      <w:r w:rsidR="00AB3BE9">
        <w:t>a</w:t>
      </w:r>
      <w:r>
        <w:t>, przesyłania lub dystrybucji energii elektrycznej.</w:t>
      </w:r>
    </w:p>
    <w:p w14:paraId="47252BD8" w14:textId="43D2DDDF" w:rsidR="00627ADD" w:rsidRDefault="00627ADD" w:rsidP="00627ADD">
      <w:pPr>
        <w:pStyle w:val="NormalnyIRIESD"/>
      </w:pPr>
      <w:r>
        <w:t xml:space="preserve">IV.3.2.12 </w:t>
      </w:r>
      <w:r w:rsidR="00AB3BE9" w:rsidRPr="00AB3BE9">
        <w:t>Obiekty albo wyodrębnione części tych obiektów, o których mowa w pkt IV.3.2.10., będące w posiadaniu odbiorcy podlegają ochronie, jeżeli zostały wyszczególnione, na wniosek i</w:t>
      </w:r>
      <w:r w:rsidR="00AB3BE9">
        <w:t> </w:t>
      </w:r>
      <w:r w:rsidR="00AB3BE9" w:rsidRPr="00AB3BE9">
        <w:t xml:space="preserve">zgodnie z oświadczeniem tego odbiorcy, w umowach dystrybucyjnych albo kompleksowych – wzór wniosku zawierającego oświadczenie opracowuje </w:t>
      </w:r>
      <w:r w:rsidR="00AB3BE9">
        <w:t>OSD</w:t>
      </w:r>
      <w:r w:rsidR="00586F6F">
        <w:t>,</w:t>
      </w:r>
      <w:r w:rsidR="00AB3BE9" w:rsidRPr="00AB3BE9">
        <w:t xml:space="preserve"> umieszcza na swojej stronie internetowej</w:t>
      </w:r>
      <w:r w:rsidR="00586F6F">
        <w:t xml:space="preserve"> lub udostępnia w siedzibie OSD</w:t>
      </w:r>
      <w:r w:rsidR="00AB3BE9" w:rsidRPr="00AB3BE9">
        <w:t xml:space="preserve">. W przypadku umów kompleksowych, jeżeli wniosek o którym mowa w zdaniu pierwszym otrzymał sprzedawca, wówczas sprzedawca przekazuje go niezwłocznie do </w:t>
      </w:r>
      <w:r w:rsidR="00AB3BE9">
        <w:t>OSD</w:t>
      </w:r>
      <w:r w:rsidR="00AB3BE9" w:rsidRPr="00AB3BE9">
        <w:t>, w</w:t>
      </w:r>
      <w:r w:rsidR="00AB3BE9">
        <w:t> </w:t>
      </w:r>
      <w:r w:rsidR="00AB3BE9" w:rsidRPr="00AB3BE9">
        <w:t xml:space="preserve">formie elektronicznej na adres poczty elektronicznej wskazany w </w:t>
      </w:r>
      <w:proofErr w:type="gramStart"/>
      <w:r w:rsidR="00AB3BE9" w:rsidRPr="00AB3BE9">
        <w:t>umowie</w:t>
      </w:r>
      <w:r w:rsidR="00AA71C4">
        <w:t xml:space="preserve"> </w:t>
      </w:r>
      <w:r w:rsidR="00AB3BE9" w:rsidRPr="00AB3BE9">
        <w:t xml:space="preserve"> </w:t>
      </w:r>
      <w:r w:rsidR="00AA71C4">
        <w:t>GUD</w:t>
      </w:r>
      <w:proofErr w:type="gramEnd"/>
      <w:r w:rsidR="003C0736">
        <w:t>-K</w:t>
      </w:r>
      <w:r w:rsidR="00AB3BE9" w:rsidRPr="00AB3BE9">
        <w:t>, w terminie nie dłuższym niż 3 dni robocze od otrzymania wniosku</w:t>
      </w:r>
      <w:r w:rsidR="00B2490D">
        <w:t>.</w:t>
      </w:r>
    </w:p>
    <w:p w14:paraId="0FC8D464" w14:textId="56801D65" w:rsidR="00B2490D" w:rsidRDefault="00B2490D" w:rsidP="00627ADD">
      <w:pPr>
        <w:pStyle w:val="NormalnyIRIESD"/>
      </w:pPr>
      <w:r>
        <w:t xml:space="preserve">IV.3.2.13. </w:t>
      </w:r>
      <w:r w:rsidR="00AB3BE9" w:rsidRPr="00AB3BE9">
        <w:t xml:space="preserve">Odbiorca niezwłocznie informuje </w:t>
      </w:r>
      <w:r w:rsidR="00AB3BE9">
        <w:t>OSD</w:t>
      </w:r>
      <w:r w:rsidR="00AB3BE9" w:rsidRPr="00AB3BE9">
        <w:t>, a w przypadku umów kompleksowych, również sprzedawcę, o ustaniu okoliczności uzasadniających podleganie ochronie, o której mowa w pkt IV.3.2.10., w zakresie posiadanego przez odbiorcę obiektu lub jego wyodrębnionej części</w:t>
      </w:r>
      <w:r>
        <w:t>.</w:t>
      </w:r>
    </w:p>
    <w:p w14:paraId="4F643A0A" w14:textId="0062EEF1" w:rsidR="00B2490D" w:rsidRDefault="00B2490D" w:rsidP="00627ADD">
      <w:pPr>
        <w:pStyle w:val="NormalnyIRIESD"/>
      </w:pPr>
      <w:r>
        <w:t xml:space="preserve">IV.3.2.14 </w:t>
      </w:r>
      <w:r w:rsidR="00AB3BE9" w:rsidRPr="00AB3BE9">
        <w:t xml:space="preserve">W przypadku gdy wielkość mocy, która zapewnia prawidłowe funkcjonowanie wyodrębnionej części obiektu podlegającej ochronie, nie została uwzględniona w wielkościach mocy minimalnej poboru i mocy maksymalnej poboru określonych dla tego obiektu i wyznaczonych w sposób określony w pkt IV.3.2.25., odbiorca może wystąpić z uzasadnionym wnioskiem do </w:t>
      </w:r>
      <w:r w:rsidR="00AB3BE9">
        <w:t>OSD</w:t>
      </w:r>
      <w:r w:rsidR="00AB3BE9" w:rsidRPr="00AB3BE9">
        <w:t xml:space="preserve"> o korektę wielkości mocy określonych dla tego obiektu, jako całości, w stopniach zasilania, o</w:t>
      </w:r>
      <w:r w:rsidR="00AB3BE9">
        <w:t> </w:t>
      </w:r>
      <w:r w:rsidR="00AB3BE9" w:rsidRPr="00AB3BE9">
        <w:t>których mowa w pkt IV.3.2.22 lit. b i c, z zachowaniem zasady równomiernego podziału zakresu mocy, o której mowa w pkt IV.3.2.22 lit. d</w:t>
      </w:r>
      <w:r w:rsidR="001E124C">
        <w:t>.</w:t>
      </w:r>
    </w:p>
    <w:p w14:paraId="4C9CE9D8" w14:textId="7582592B" w:rsidR="001E124C" w:rsidRDefault="001E124C" w:rsidP="00627ADD">
      <w:pPr>
        <w:pStyle w:val="NormalnyIRIESD"/>
      </w:pPr>
      <w:r>
        <w:t xml:space="preserve">IV.3.2.15 </w:t>
      </w:r>
      <w:r w:rsidR="00AB3BE9" w:rsidRPr="00AB3BE9">
        <w:t xml:space="preserve">Podstawą opracowania przez </w:t>
      </w:r>
      <w:r w:rsidR="00AB3BE9">
        <w:t>OSD</w:t>
      </w:r>
      <w:r w:rsidR="00AB3BE9" w:rsidRPr="00AB3BE9">
        <w:t xml:space="preserve"> corocznie planów wprowadzania ograniczeń w trybie normalnym są plany wprowadzania ograniczeń dla odbiorców w zakresie posiadanych przez nich obiektów opracowywane przez </w:t>
      </w:r>
      <w:r w:rsidR="00AB3BE9">
        <w:t>OSD</w:t>
      </w:r>
      <w:r>
        <w:t>.</w:t>
      </w:r>
    </w:p>
    <w:p w14:paraId="71B82EB7" w14:textId="657C4739" w:rsidR="001E124C" w:rsidRDefault="001E124C" w:rsidP="00627ADD">
      <w:pPr>
        <w:pStyle w:val="NormalnyIRIESD"/>
      </w:pPr>
      <w:r>
        <w:t xml:space="preserve">IV.3.2.16 </w:t>
      </w:r>
      <w:r w:rsidR="00AB3BE9" w:rsidRPr="00AB3BE9">
        <w:t xml:space="preserve">Plan wprowadzania ograniczeń w zakresie obiektu opracowuje się, w formie dokumentowej, na podstawie wielkości mocy obowiązujących odbiorcę w danym obiekcie, według stanu na dzień 1 stycznia danego </w:t>
      </w:r>
      <w:proofErr w:type="gramStart"/>
      <w:r w:rsidR="00AB3BE9" w:rsidRPr="00AB3BE9">
        <w:t>roku,</w:t>
      </w:r>
      <w:proofErr w:type="gramEnd"/>
      <w:r w:rsidR="00AB3BE9" w:rsidRPr="00AB3BE9">
        <w:t xml:space="preserve"> i przekazuje się te wielkości odbiorcy, w formie dokumentowej, w terminie do dnia 15 kwietnia danego roku</w:t>
      </w:r>
      <w:r>
        <w:t>.</w:t>
      </w:r>
    </w:p>
    <w:p w14:paraId="2F824909" w14:textId="1ADA5BAA" w:rsidR="001E124C" w:rsidRDefault="001E124C" w:rsidP="00627ADD">
      <w:pPr>
        <w:pStyle w:val="NormalnyIRIESD"/>
      </w:pPr>
      <w:r>
        <w:t xml:space="preserve">IV.3.2.17. </w:t>
      </w:r>
      <w:r w:rsidR="00AB3BE9" w:rsidRPr="00AB3BE9">
        <w:t>Plan wprowadzania ograniczeń, o którym mowa w pkt IV.3.2.16. opracowuje się na okres od dnia 1 czerwca danego roku do dnia 31 maja roku następnego</w:t>
      </w:r>
      <w:r>
        <w:t>.</w:t>
      </w:r>
    </w:p>
    <w:p w14:paraId="0119BBA5" w14:textId="373ECAD5" w:rsidR="001E124C" w:rsidRDefault="001E124C" w:rsidP="00627ADD">
      <w:pPr>
        <w:pStyle w:val="NormalnyIRIESD"/>
      </w:pPr>
      <w:r>
        <w:t xml:space="preserve">IV.3.2.18. </w:t>
      </w:r>
      <w:proofErr w:type="spellStart"/>
      <w:r w:rsidR="00AB3BE9" w:rsidRPr="00AB3BE9">
        <w:t>OSDn</w:t>
      </w:r>
      <w:proofErr w:type="spellEnd"/>
      <w:r w:rsidR="00AB3BE9" w:rsidRPr="00AB3BE9">
        <w:t xml:space="preserve">, przekazuje w terminie do dnia 15 marca danego roku swój plan wprowadzania ograniczeń do </w:t>
      </w:r>
      <w:r w:rsidR="00AB3BE9">
        <w:t>OSD</w:t>
      </w:r>
      <w:r w:rsidR="00AB3BE9" w:rsidRPr="00AB3BE9">
        <w:t xml:space="preserve">, w celu uwzględnienia tego planu w planie wprowadzania ograniczeń </w:t>
      </w:r>
      <w:r w:rsidR="00AB3BE9">
        <w:t>OSD</w:t>
      </w:r>
      <w:r>
        <w:t>.</w:t>
      </w:r>
    </w:p>
    <w:p w14:paraId="3B7755BD" w14:textId="77EC86F5" w:rsidR="001E124C" w:rsidRDefault="001E124C" w:rsidP="00627ADD">
      <w:pPr>
        <w:pStyle w:val="NormalnyIRIESD"/>
      </w:pPr>
      <w:r>
        <w:t xml:space="preserve">IV.3.2.19 OSD przekazuje OSP za pośrednictwem </w:t>
      </w:r>
      <w:proofErr w:type="spellStart"/>
      <w:r w:rsidR="007253A9">
        <w:t>OSDp</w:t>
      </w:r>
      <w:proofErr w:type="spellEnd"/>
      <w:r w:rsidR="007253A9">
        <w:t xml:space="preserve"> w terminie do dnia 15 marca danego roku swój plan wprowadzania ograniczeń w celu je</w:t>
      </w:r>
      <w:r w:rsidR="000E4E95">
        <w:t>g</w:t>
      </w:r>
      <w:r w:rsidR="007253A9">
        <w:t>o uwzględnienia w planie ograniczeń OSP.</w:t>
      </w:r>
    </w:p>
    <w:p w14:paraId="37CACB0E" w14:textId="607B01F3" w:rsidR="007253A9" w:rsidRDefault="007253A9" w:rsidP="00627ADD">
      <w:pPr>
        <w:pStyle w:val="NormalnyIRIESD"/>
      </w:pPr>
      <w:r>
        <w:t xml:space="preserve">IV.3.2.20 Aktualizacja planów wprowadzania ograniczeń dla obiektów odbiorców nie powoduje konieczności aktualizacji planu wprowadzania ograniczeń </w:t>
      </w:r>
      <w:proofErr w:type="spellStart"/>
      <w:r>
        <w:t>OSDn</w:t>
      </w:r>
      <w:proofErr w:type="spellEnd"/>
      <w:r>
        <w:t xml:space="preserve">, OSD i </w:t>
      </w:r>
      <w:proofErr w:type="spellStart"/>
      <w:r>
        <w:t>OSDp</w:t>
      </w:r>
      <w:proofErr w:type="spellEnd"/>
      <w:r>
        <w:t>.</w:t>
      </w:r>
    </w:p>
    <w:p w14:paraId="6A06A144" w14:textId="0F99C7A2" w:rsidR="007253A9" w:rsidRDefault="007253A9" w:rsidP="00627ADD">
      <w:pPr>
        <w:pStyle w:val="NormalnyIRIESD"/>
      </w:pPr>
      <w:r>
        <w:t xml:space="preserve">IV.3.2.21 </w:t>
      </w:r>
      <w:r w:rsidR="000E4E95" w:rsidRPr="000E4E95">
        <w:t>Plan wprowadzania ograniczeń opracowywany przez OSP podlega uzgodnieniu z</w:t>
      </w:r>
      <w:r w:rsidR="00AA71C4">
        <w:t> </w:t>
      </w:r>
      <w:r w:rsidR="000E4E95" w:rsidRPr="000E4E95">
        <w:t>Prezesem URE w terminie do dnia 31 maja danego roku. OSP przedstawia Prezesowi URE plan wprowadzania ograniczeń do uzgodnienia nie później niż do dnia 30 kwietnia danego roku</w:t>
      </w:r>
      <w:r>
        <w:t>.</w:t>
      </w:r>
    </w:p>
    <w:p w14:paraId="47D7B357" w14:textId="16B190EF" w:rsidR="007253A9" w:rsidRDefault="007253A9" w:rsidP="00627ADD">
      <w:pPr>
        <w:pStyle w:val="NormalnyIRIESD"/>
      </w:pPr>
      <w:r>
        <w:t>IV.3.2.22. Wielkości planowanych ograniczeń w dostarczaniu i poborze energii elektrycznej, określa się w stopniach zasilania od 11 do 2</w:t>
      </w:r>
      <w:r w:rsidR="000E4E95">
        <w:t>0</w:t>
      </w:r>
      <w:r>
        <w:t>, przy czy</w:t>
      </w:r>
      <w:r w:rsidR="009838B1">
        <w:t>m</w:t>
      </w:r>
      <w:r>
        <w:t>:</w:t>
      </w:r>
    </w:p>
    <w:p w14:paraId="525801F0" w14:textId="2F37C764" w:rsidR="009838B1" w:rsidRDefault="009838B1" w:rsidP="00817551">
      <w:pPr>
        <w:pStyle w:val="drugi0"/>
        <w:numPr>
          <w:ilvl w:val="0"/>
          <w:numId w:val="34"/>
        </w:numPr>
      </w:pPr>
      <w:r w:rsidRPr="009838B1">
        <w:t>11 stopień zasilania określa, że odbiorca może pobierać moc w obiekcie w wielkościach i na zasadach określonych w umowach dystrybucyjnych albo kompleksowych</w:t>
      </w:r>
      <w:r>
        <w:t>,</w:t>
      </w:r>
    </w:p>
    <w:p w14:paraId="6907BB43" w14:textId="25CEA974" w:rsidR="009838B1" w:rsidRPr="009838B1" w:rsidRDefault="009838B1" w:rsidP="00817551">
      <w:pPr>
        <w:pStyle w:val="drugi0"/>
        <w:numPr>
          <w:ilvl w:val="0"/>
          <w:numId w:val="34"/>
        </w:numPr>
      </w:pPr>
      <w:r w:rsidRPr="009838B1">
        <w:t xml:space="preserve">12 stopień zasilania określa, że odbiorca może pobierać w obiekcie łączną moc do wysokości mocy maksymalnej poboru, określonej dla tego obiektu, zgodnie z pkt IV.3.2.25 lit. b) </w:t>
      </w:r>
    </w:p>
    <w:p w14:paraId="4A0E0DE5" w14:textId="38C508FE" w:rsidR="009838B1" w:rsidRPr="009838B1" w:rsidRDefault="009838B1" w:rsidP="00817551">
      <w:pPr>
        <w:pStyle w:val="drugi0"/>
        <w:numPr>
          <w:ilvl w:val="0"/>
          <w:numId w:val="34"/>
        </w:numPr>
      </w:pPr>
      <w:r w:rsidRPr="009838B1">
        <w:t xml:space="preserve">20 stopień zasilania określa, że odbiorca może pobierać w obiekcie łączną moc do wysokości mocy minimalnej poboru, określonej dla tego obiektu zgodnie z pkt IV.3.2.25 lit. a), </w:t>
      </w:r>
    </w:p>
    <w:p w14:paraId="502FF1BE" w14:textId="34C27F65" w:rsidR="009838B1" w:rsidRDefault="009838B1" w:rsidP="00817551">
      <w:pPr>
        <w:pStyle w:val="drugi0"/>
        <w:numPr>
          <w:ilvl w:val="0"/>
          <w:numId w:val="34"/>
        </w:numPr>
      </w:pPr>
      <w:r w:rsidRPr="009838B1">
        <w:t>wielkości łączne maksymalnych mocy określone dla obiektu, które odbiorca może pobierać, w</w:t>
      </w:r>
      <w:r w:rsidR="00AA71C4">
        <w:t> </w:t>
      </w:r>
      <w:r w:rsidRPr="009838B1">
        <w:t>stopniach zasilania od 12 do 20, wynikają z równomiernego podziału zakresu mocy - od wielkości mocy maksymalnej poboru, określonej dla 12 stopnia zasilania, do wielkości mocy minimalnej poboru, określonej dla 20 stopnia zasilania</w:t>
      </w:r>
      <w:r>
        <w:t>.</w:t>
      </w:r>
    </w:p>
    <w:p w14:paraId="1837F81D" w14:textId="043EBCA6" w:rsidR="009838B1" w:rsidRDefault="009838B1" w:rsidP="009838B1">
      <w:pPr>
        <w:pStyle w:val="NormalnyIRIESD"/>
      </w:pPr>
      <w:r w:rsidRPr="009838B1">
        <w:t xml:space="preserve">IV.3.2.23. </w:t>
      </w:r>
      <w:r w:rsidR="005C7358" w:rsidRPr="005C7358">
        <w:t>W poszczególnych stopniach zasilania odbiorca może pobierać w obiekcie łączną moc o</w:t>
      </w:r>
      <w:r w:rsidR="005C7358">
        <w:t> </w:t>
      </w:r>
      <w:r w:rsidR="005C7358" w:rsidRPr="005C7358">
        <w:t>wielkości nie wyższej niż wielkość mocy, która jest określona dla danego stopnia zasilania dla tego obiektu</w:t>
      </w:r>
      <w:r w:rsidRPr="009838B1">
        <w:t xml:space="preserve">. </w:t>
      </w:r>
    </w:p>
    <w:p w14:paraId="023B8456" w14:textId="1EDB812F" w:rsidR="009838B1" w:rsidRDefault="009838B1" w:rsidP="009838B1">
      <w:pPr>
        <w:pStyle w:val="NormalnyIRIESD"/>
      </w:pPr>
      <w:r w:rsidRPr="009838B1">
        <w:t xml:space="preserve">IV.3.2.24. </w:t>
      </w:r>
      <w:r w:rsidR="005C7358" w:rsidRPr="005C7358">
        <w:t xml:space="preserve">Wielkości łączne mocy określone dla obiektu, obowiązujące odbiorcę w stopniach zasilania od 12 do 20, zawarte w planie wprowadzania ograniczeń dla odbiorcy w zakresie posiadanego przez niego obiektu, są przekazywane odbiorcy przez </w:t>
      </w:r>
      <w:r w:rsidR="005C7358">
        <w:t>OSD</w:t>
      </w:r>
      <w:r w:rsidR="005C7358" w:rsidRPr="005C7358">
        <w:t xml:space="preserve"> w sposób określony w pkt IV.3.2.27</w:t>
      </w:r>
      <w:r w:rsidRPr="009838B1">
        <w:t>.</w:t>
      </w:r>
    </w:p>
    <w:p w14:paraId="0CEE346E" w14:textId="12612F15" w:rsidR="009838B1" w:rsidRDefault="009838B1" w:rsidP="009838B1">
      <w:pPr>
        <w:pStyle w:val="NormalnyIRIESD"/>
      </w:pPr>
      <w:r w:rsidRPr="009838B1">
        <w:t xml:space="preserve">IV.3.2.25. </w:t>
      </w:r>
      <w:r w:rsidR="005C7358" w:rsidRPr="005C7358">
        <w:t xml:space="preserve">Moc minimalną poboru oraz moc maksymalną poboru określa </w:t>
      </w:r>
      <w:r w:rsidR="005C7358">
        <w:t>OSD</w:t>
      </w:r>
      <w:r w:rsidR="005C7358" w:rsidRPr="005C7358">
        <w:t xml:space="preserve"> na podstawie wskazań układów pomiarowo-rozliczeniowych z funkcją odczytu danych w systemie danych dobowo-godzinowych obejmujących pełny okres pomiarowy od dnia 1 stycznia roku n - 1 do dnia 31 grudnia roku n - 1, gdzie „n” jest rokiem uzgodnienia, o którym mowa w pkt IV.3.2.21., przez Prezesa URE planu wprowadzania ograniczeń, odpowiednio</w:t>
      </w:r>
      <w:r w:rsidRPr="009838B1">
        <w:t>:</w:t>
      </w:r>
    </w:p>
    <w:p w14:paraId="2DD188C2" w14:textId="5C7DBB9F" w:rsidR="0082059F" w:rsidRPr="0082059F" w:rsidRDefault="009838B1" w:rsidP="00817551">
      <w:pPr>
        <w:pStyle w:val="drugi0"/>
        <w:numPr>
          <w:ilvl w:val="0"/>
          <w:numId w:val="35"/>
        </w:numPr>
      </w:pPr>
      <w:r>
        <w:t>w przypadku mocy minimalnej poboru przez:</w:t>
      </w:r>
    </w:p>
    <w:p w14:paraId="0F439B27" w14:textId="60D5692F" w:rsidR="0082059F" w:rsidRDefault="0082059F" w:rsidP="00817551">
      <w:pPr>
        <w:pStyle w:val="i"/>
        <w:numPr>
          <w:ilvl w:val="0"/>
          <w:numId w:val="36"/>
        </w:numPr>
      </w:pPr>
      <w:r w:rsidRPr="0082059F">
        <w:t xml:space="preserve">wyznaczenie dla każdego miesiąca kalendarzowego odrębnie jednej wartości poboru mocy </w:t>
      </w:r>
      <w:proofErr w:type="spellStart"/>
      <w:r w:rsidRPr="0082059F">
        <w:t>średniogodzinnej</w:t>
      </w:r>
      <w:proofErr w:type="spellEnd"/>
      <w:r w:rsidRPr="0082059F">
        <w:t xml:space="preserve">, która w danym miesiącu miała wartość najniższą, </w:t>
      </w:r>
    </w:p>
    <w:p w14:paraId="2FA3D361" w14:textId="686492F8" w:rsidR="0082059F" w:rsidRPr="0082059F" w:rsidRDefault="0082059F" w:rsidP="00817551">
      <w:pPr>
        <w:pStyle w:val="i"/>
        <w:numPr>
          <w:ilvl w:val="0"/>
          <w:numId w:val="36"/>
        </w:numPr>
        <w:rPr>
          <w:sz w:val="23"/>
          <w:szCs w:val="23"/>
        </w:rPr>
      </w:pPr>
      <w:r w:rsidRPr="0082059F">
        <w:rPr>
          <w:sz w:val="23"/>
          <w:szCs w:val="23"/>
        </w:rPr>
        <w:t xml:space="preserve">odrzucenie trzech wartości najniższych spośród wartości, o których mowa w </w:t>
      </w:r>
      <w:proofErr w:type="spellStart"/>
      <w:r w:rsidRPr="0082059F">
        <w:rPr>
          <w:sz w:val="23"/>
          <w:szCs w:val="23"/>
        </w:rPr>
        <w:t>ppkt</w:t>
      </w:r>
      <w:proofErr w:type="spellEnd"/>
      <w:r w:rsidRPr="0082059F">
        <w:rPr>
          <w:sz w:val="23"/>
          <w:szCs w:val="23"/>
        </w:rPr>
        <w:t xml:space="preserve"> </w:t>
      </w:r>
      <w:proofErr w:type="gramStart"/>
      <w:r w:rsidRPr="0082059F">
        <w:rPr>
          <w:sz w:val="23"/>
          <w:szCs w:val="23"/>
        </w:rPr>
        <w:t>i,</w:t>
      </w:r>
      <w:proofErr w:type="gramEnd"/>
      <w:r w:rsidRPr="0082059F">
        <w:rPr>
          <w:sz w:val="23"/>
          <w:szCs w:val="23"/>
        </w:rPr>
        <w:t xml:space="preserve"> i</w:t>
      </w:r>
      <w:r w:rsidR="00FE431C">
        <w:rPr>
          <w:sz w:val="23"/>
          <w:szCs w:val="23"/>
        </w:rPr>
        <w:t> </w:t>
      </w:r>
      <w:r w:rsidRPr="0082059F">
        <w:rPr>
          <w:sz w:val="23"/>
          <w:szCs w:val="23"/>
        </w:rPr>
        <w:t>wyznaczenie średniej arytmetycznej z pozostałych dziewięciu wartości</w:t>
      </w:r>
      <w:r>
        <w:rPr>
          <w:sz w:val="23"/>
          <w:szCs w:val="23"/>
        </w:rPr>
        <w:t>;</w:t>
      </w:r>
      <w:r w:rsidRPr="0082059F">
        <w:rPr>
          <w:sz w:val="23"/>
          <w:szCs w:val="23"/>
        </w:rPr>
        <w:t xml:space="preserve"> </w:t>
      </w:r>
    </w:p>
    <w:p w14:paraId="3A91E411" w14:textId="4780720A" w:rsidR="0082059F" w:rsidRDefault="0082059F" w:rsidP="00D702F8">
      <w:pPr>
        <w:pStyle w:val="drugi0"/>
      </w:pPr>
      <w:r w:rsidRPr="0082059F">
        <w:t>w przypadku mocy maksymalnej poboru przez:</w:t>
      </w:r>
    </w:p>
    <w:p w14:paraId="25A3B589" w14:textId="694BCEEE" w:rsidR="0082059F" w:rsidRDefault="0082059F" w:rsidP="00817551">
      <w:pPr>
        <w:pStyle w:val="i"/>
        <w:numPr>
          <w:ilvl w:val="0"/>
          <w:numId w:val="37"/>
        </w:numPr>
      </w:pPr>
      <w:r w:rsidRPr="0082059F">
        <w:t xml:space="preserve">wyznaczenie dla każdego miesiąca kalendarzowego odrębnie jednej wartości poboru mocy </w:t>
      </w:r>
      <w:proofErr w:type="spellStart"/>
      <w:r w:rsidRPr="0082059F">
        <w:t>średniogodzinnej</w:t>
      </w:r>
      <w:proofErr w:type="spellEnd"/>
      <w:r w:rsidRPr="0082059F">
        <w:t>, która w danym miesiącu miała wartość najwyższą,</w:t>
      </w:r>
    </w:p>
    <w:p w14:paraId="1C4E7FFE" w14:textId="0F1B09A7" w:rsidR="0082059F" w:rsidRDefault="0082059F" w:rsidP="00817551">
      <w:pPr>
        <w:pStyle w:val="i"/>
        <w:numPr>
          <w:ilvl w:val="0"/>
          <w:numId w:val="37"/>
        </w:numPr>
      </w:pPr>
      <w:r w:rsidRPr="0082059F">
        <w:t xml:space="preserve">odrzucenie trzech wartości najwyższych spośród wartości, o których mowa w </w:t>
      </w:r>
      <w:proofErr w:type="spellStart"/>
      <w:r w:rsidRPr="0082059F">
        <w:t>ppkt</w:t>
      </w:r>
      <w:proofErr w:type="spellEnd"/>
      <w:r w:rsidRPr="0082059F">
        <w:t xml:space="preserve"> </w:t>
      </w:r>
      <w:proofErr w:type="gramStart"/>
      <w:r w:rsidRPr="0082059F">
        <w:t>i,</w:t>
      </w:r>
      <w:proofErr w:type="gramEnd"/>
      <w:r w:rsidRPr="0082059F">
        <w:t xml:space="preserve"> i</w:t>
      </w:r>
      <w:r w:rsidR="00FE431C">
        <w:t> </w:t>
      </w:r>
      <w:r w:rsidRPr="0082059F">
        <w:t>wyznaczenie średniej arytmetycznej z pozostałych dziewięciu wartości.</w:t>
      </w:r>
    </w:p>
    <w:p w14:paraId="0F6FBC67" w14:textId="6F0F5A42" w:rsidR="0082059F" w:rsidRDefault="0082059F" w:rsidP="0082059F">
      <w:pPr>
        <w:pStyle w:val="NormalnyIRIESD"/>
      </w:pPr>
      <w:r w:rsidRPr="0082059F">
        <w:t xml:space="preserve">W przypadku braku możliwości pozyskania przez </w:t>
      </w:r>
      <w:r>
        <w:t>OSD</w:t>
      </w:r>
      <w:r w:rsidRPr="0082059F">
        <w:t xml:space="preserve"> wskazań układu pomiarowo-rozliczeniowego, o których mowa powyżej, </w:t>
      </w:r>
      <w:r>
        <w:t>OSD</w:t>
      </w:r>
      <w:r w:rsidRPr="0082059F">
        <w:t xml:space="preserve"> wyznacza je zgodnie z zapisami pkt C.1. </w:t>
      </w:r>
      <w:proofErr w:type="spellStart"/>
      <w:r w:rsidRPr="0082059F">
        <w:t>IRiESD</w:t>
      </w:r>
      <w:proofErr w:type="spellEnd"/>
      <w:r w:rsidRPr="0082059F">
        <w:t>.</w:t>
      </w:r>
    </w:p>
    <w:p w14:paraId="3B067702" w14:textId="49B7440E" w:rsidR="0082059F" w:rsidRDefault="0082059F" w:rsidP="0082059F">
      <w:pPr>
        <w:pStyle w:val="NormalnyIRIESD"/>
      </w:pPr>
      <w:r w:rsidRPr="0082059F">
        <w:t xml:space="preserve">IV.3.2.26. </w:t>
      </w:r>
      <w:r w:rsidR="00FE431C">
        <w:t xml:space="preserve">W </w:t>
      </w:r>
      <w:r w:rsidR="00FE431C" w:rsidRPr="00FE431C">
        <w:t>przypadku, gdy wyznaczona dla obiektu wielkość mocy maksymalnej poboru jest większa niż łączna wielkość mocy umownej, określona dla tego obiektu w umowach dystrybucyjnych albo kompleksowych, za wielkość mocy maksymalnej poboru przyjmuje się łączną wielkość mocy umownej</w:t>
      </w:r>
      <w:r w:rsidRPr="0082059F">
        <w:t>.</w:t>
      </w:r>
    </w:p>
    <w:p w14:paraId="438E3EFF" w14:textId="69404BBE" w:rsidR="0082059F" w:rsidRDefault="0082059F" w:rsidP="0082059F">
      <w:pPr>
        <w:pStyle w:val="NormalnyIRIESD"/>
      </w:pPr>
      <w:r w:rsidRPr="0082059F">
        <w:t xml:space="preserve">IV.3.2.27. </w:t>
      </w:r>
      <w:r w:rsidR="00FE431C">
        <w:t>OSD</w:t>
      </w:r>
      <w:r w:rsidR="00FE431C" w:rsidRPr="00FE431C">
        <w:t xml:space="preserve"> przesyła odbiorcy plan wprowadzania ograniczeń dla odbiorcy w zakresie posiadanego przez niego obiektu lub aktualizację tego planu, zawierający wielkości łączne mocy określone dla obiektu w stopniach zasilania od 12 do 20, na adres poczty elektronicznej wskazany w umowach dystrybucyjnych albo kompleksowych w terminie, o którym mowa w pkt IV.3.2.16. W</w:t>
      </w:r>
      <w:r w:rsidR="00FE431C">
        <w:t> </w:t>
      </w:r>
      <w:r w:rsidR="00FE431C" w:rsidRPr="00FE431C">
        <w:t xml:space="preserve">zakresie umów kompleksowych, </w:t>
      </w:r>
      <w:r w:rsidR="00FE431C">
        <w:t>OSD</w:t>
      </w:r>
      <w:r w:rsidR="00FE431C" w:rsidRPr="00FE431C">
        <w:t xml:space="preserve"> przekazuje ten plan lub jego aktualizację również sprzedawcy, na adres poczty elektronicznej wskazany w umowie</w:t>
      </w:r>
      <w:r w:rsidRPr="0082059F">
        <w:t>.</w:t>
      </w:r>
    </w:p>
    <w:p w14:paraId="7E2AA0B4" w14:textId="1874F23B" w:rsidR="0082059F" w:rsidRPr="0082059F" w:rsidRDefault="00FE431C" w:rsidP="0082059F">
      <w:pPr>
        <w:pStyle w:val="NormalnyIRIESD"/>
      </w:pPr>
      <w:r w:rsidRPr="00FE431C">
        <w:t xml:space="preserve">Jeżeli umowa dystrybucyjna albo kompleksowa nie zawiera adresu poczty elektronicznej, do czasu przekazania </w:t>
      </w:r>
      <w:r>
        <w:t>OSD</w:t>
      </w:r>
      <w:r w:rsidRPr="00FE431C">
        <w:t xml:space="preserve"> przez odbiorcę adresu poczty elektronicznej, o którym mowa powyżej, </w:t>
      </w:r>
      <w:r>
        <w:t>OSD</w:t>
      </w:r>
      <w:r w:rsidRPr="00FE431C">
        <w:t xml:space="preserve"> przesyła odbiorcy plan wprowadzania ograniczeń dla odbiorcy w zakresie posiadanego przez niego obiektu na adres korespondencyjny wskazany w umowie dystrybucyjnej albo kompleksowej. W</w:t>
      </w:r>
      <w:r>
        <w:t> </w:t>
      </w:r>
      <w:r w:rsidRPr="00FE431C">
        <w:t xml:space="preserve">przypadku umowy kompleksowej adres korespondencyjny odbiorcy, sprzedawca udostępnia </w:t>
      </w:r>
      <w:r>
        <w:t>OSD</w:t>
      </w:r>
      <w:r w:rsidRPr="00FE431C">
        <w:t>. Doręczenie na ten adres korespondencyjny jest skuteczne</w:t>
      </w:r>
      <w:r w:rsidR="0082059F" w:rsidRPr="0082059F">
        <w:t xml:space="preserve">. </w:t>
      </w:r>
    </w:p>
    <w:p w14:paraId="4CD714CD" w14:textId="10EF1DEA" w:rsidR="0082059F" w:rsidRDefault="00FE431C" w:rsidP="0082059F">
      <w:pPr>
        <w:pStyle w:val="NormalnyIRIESD"/>
      </w:pPr>
      <w:r w:rsidRPr="00FE431C">
        <w:t xml:space="preserve">Odbiorcy są zobowiązani do niezwłocznego pisemnego informowania odpowiednio </w:t>
      </w:r>
      <w:r>
        <w:t>OSD</w:t>
      </w:r>
      <w:r w:rsidRPr="00FE431C">
        <w:t xml:space="preserve">, z którym zawarli umowę o świadczenie usługi dystrybucji albo sprzedawców, z którymi posiadają zawarte umowy kompleksowe, o każdej zmianie adresu poczty elektronicznej, o którym mowa powyżej, wskazanego w umowach. Sprzedawcy, którzy posiadają zawarte umowy kompleksowe zobowiązani są do niezwłocznego informowania </w:t>
      </w:r>
      <w:r>
        <w:t>OSD</w:t>
      </w:r>
      <w:r w:rsidRPr="00FE431C">
        <w:t xml:space="preserve"> o zmianie adresu poczty elektronicznej</w:t>
      </w:r>
      <w:r w:rsidR="0082059F" w:rsidRPr="0082059F">
        <w:t>.</w:t>
      </w:r>
    </w:p>
    <w:p w14:paraId="618731AD" w14:textId="08D87F7E" w:rsidR="0082059F" w:rsidRDefault="0082059F" w:rsidP="0082059F">
      <w:pPr>
        <w:pStyle w:val="NormalnyIRIESD"/>
      </w:pPr>
      <w:r w:rsidRPr="0082059F">
        <w:t xml:space="preserve">IV.3.2.28. </w:t>
      </w:r>
      <w:r w:rsidR="00FE431C" w:rsidRPr="00FE431C">
        <w:t>Dla przyłączanego do sieci obiektu, dla którego nie jest możliwe ustalenie w sposób określony w pkt IV.3.2.25.</w:t>
      </w:r>
      <w:r w:rsidRPr="0082059F">
        <w:t>:</w:t>
      </w:r>
    </w:p>
    <w:p w14:paraId="69BA4519" w14:textId="57CDE778" w:rsidR="0082059F" w:rsidRDefault="0082059F" w:rsidP="00817551">
      <w:pPr>
        <w:pStyle w:val="drugi0"/>
        <w:numPr>
          <w:ilvl w:val="0"/>
          <w:numId w:val="38"/>
        </w:numPr>
      </w:pPr>
      <w:r w:rsidRPr="0082059F">
        <w:t>mocy minimalnej poboru - wielkość tej mocy ustala się na podstawie wielkości minimalnej mocy wymaganej dla zapewnienia bezpieczeństwa osób i mienia, o której mowa w przepisach wydanych na podstawie art. 9 ust. 3 i 4 Ustawy;</w:t>
      </w:r>
    </w:p>
    <w:p w14:paraId="1135C754" w14:textId="68D0AFB7" w:rsidR="0082059F" w:rsidRDefault="0082059F" w:rsidP="00D702F8">
      <w:pPr>
        <w:pStyle w:val="drugi0"/>
      </w:pPr>
      <w:r w:rsidRPr="0082059F">
        <w:t>mocy maksymalnej poboru - wielkość tej mocy ustala się w łącznej wysokości mocy umownej określonej w umowach dystrybucyjnych albo kompleksowych.</w:t>
      </w:r>
    </w:p>
    <w:p w14:paraId="28F1F5F2" w14:textId="1C80B294" w:rsidR="0082059F" w:rsidRDefault="00FE431C" w:rsidP="0082059F">
      <w:pPr>
        <w:pStyle w:val="NormalnyIRIESD"/>
      </w:pPr>
      <w:r w:rsidRPr="00FE431C">
        <w:t>Dla obiektów określonych powyżej, plan wprowadzania ograniczeń jest aktualizowany przy zmianie mocy umownej lub minimalnej mocy wymaganej dla zapewnienia bezpieczeństwa osób i mienia</w:t>
      </w:r>
      <w:r w:rsidR="0082059F" w:rsidRPr="0082059F">
        <w:t>.</w:t>
      </w:r>
    </w:p>
    <w:p w14:paraId="5B524E8F" w14:textId="5BCBDBB0" w:rsidR="0082059F" w:rsidRDefault="0082059F" w:rsidP="0082059F">
      <w:pPr>
        <w:pStyle w:val="NormalnyIRIESD"/>
      </w:pPr>
      <w:r w:rsidRPr="0082059F">
        <w:t xml:space="preserve">IV.3.2.29. </w:t>
      </w:r>
      <w:r w:rsidR="00FE431C" w:rsidRPr="00FE431C">
        <w:t>Sposób określania dla obiektu mocy minimalnej poboru oraz mocy maksymalnej poboru, o którym mowa w pkt IV.3.2.28., stosuje się do czasu ustalenia</w:t>
      </w:r>
      <w:r w:rsidRPr="0082059F">
        <w:t xml:space="preserve"> </w:t>
      </w:r>
      <w:r w:rsidR="00FE431C" w:rsidRPr="00FE431C">
        <w:t>wielkości tych mocy w sposób, o</w:t>
      </w:r>
      <w:r w:rsidR="00FE431C">
        <w:t> </w:t>
      </w:r>
      <w:r w:rsidR="00FE431C" w:rsidRPr="00FE431C">
        <w:t>którym mowa w pkt IV.3.2.25. nie dłużej jednak niż przez okres 24 miesięcy od dnia zawarcia po raz pierwszy umowy dystrybucyjnej albo kompleksowej, na podstawie której świadczone są odbiorcy usługi dystrybucji energii elektrycznej do tego obiektu</w:t>
      </w:r>
      <w:r w:rsidR="00E60FFF" w:rsidRPr="00E60FFF">
        <w:t>.</w:t>
      </w:r>
    </w:p>
    <w:p w14:paraId="603A704E" w14:textId="111B11E2" w:rsidR="00E60FFF" w:rsidRDefault="00E60FFF" w:rsidP="0082059F">
      <w:pPr>
        <w:pStyle w:val="NormalnyIRIESD"/>
      </w:pPr>
      <w:r w:rsidRPr="00E60FFF">
        <w:t xml:space="preserve">IV.3.2.30. </w:t>
      </w:r>
      <w:r w:rsidR="00FD0AB9" w:rsidRPr="00FD0AB9">
        <w:t>W trybie normalnym ograniczenia w poborze energii elektrycznej są realizowane przez odbiorców, stosownie do komunikatów i powiadomień OSP o obowiązujących stopniach zasilania. Obowiązujące stopnie zasilania, o których mowa w pkt IV.3.2.22., określa OSP</w:t>
      </w:r>
      <w:r w:rsidRPr="00E60FFF">
        <w:t>.</w:t>
      </w:r>
    </w:p>
    <w:p w14:paraId="5C6155F1" w14:textId="015DE253" w:rsidR="00E60FFF" w:rsidRDefault="00FD0AB9" w:rsidP="0082059F">
      <w:pPr>
        <w:pStyle w:val="NormalnyIRIESD"/>
      </w:pPr>
      <w:r w:rsidRPr="00FD0AB9">
        <w:t>Komunikaty OSP o stopniach zasilania wprowadzanych w najbliższych 12 godzinach i</w:t>
      </w:r>
      <w:r>
        <w:t> </w:t>
      </w:r>
      <w:r w:rsidRPr="00FD0AB9">
        <w:t xml:space="preserve">przewidywanych na następne 12 godzin są ogłaszane w radiowych komunikatach energetycznych nadawanych przez Program 1 Polskiego Radia o godzinie 7.55 i o godzinie 19.55 oraz zamieszczane na stronie internetowej </w:t>
      </w:r>
      <w:proofErr w:type="spellStart"/>
      <w:r>
        <w:t>OSDp</w:t>
      </w:r>
      <w:proofErr w:type="spellEnd"/>
      <w:r w:rsidRPr="00FD0AB9">
        <w:t>. Odbiorcy są obowiązani stosować się do stopni zasilania określonych w tych komunikatach w czasie określonym w tych komunikatach</w:t>
      </w:r>
      <w:r w:rsidR="00E60FFF" w:rsidRPr="00E60FFF">
        <w:t>.</w:t>
      </w:r>
    </w:p>
    <w:p w14:paraId="4631292E" w14:textId="3AD4538B" w:rsidR="00E60FFF" w:rsidRDefault="00E60FFF" w:rsidP="0082059F">
      <w:pPr>
        <w:pStyle w:val="NormalnyIRIESD"/>
      </w:pPr>
      <w:r w:rsidRPr="00E60FFF">
        <w:t xml:space="preserve">IV.3.2.31. </w:t>
      </w:r>
      <w:r w:rsidR="00FD0AB9" w:rsidRPr="00FD0AB9">
        <w:t>OSP może wprowadzić inne stopnie zasilania niż stopnie zasilania ogłoszone w</w:t>
      </w:r>
      <w:r w:rsidR="00FD0AB9">
        <w:t> </w:t>
      </w:r>
      <w:r w:rsidR="00FD0AB9" w:rsidRPr="00FD0AB9">
        <w:t>komunikatach radiowych, jeżeli nastąpiła zmiana warunków pracy systemu elektroenergetycznego lub występuje konieczność minimalizacji negatywnych następstw wprowadzonych ograniczeń w dostarczaniu lub poborze energii elektrycznej</w:t>
      </w:r>
      <w:r w:rsidRPr="00E60FFF">
        <w:t>.</w:t>
      </w:r>
    </w:p>
    <w:p w14:paraId="587D368C" w14:textId="7C5B3DAE" w:rsidR="00E60FFF" w:rsidRDefault="00E60FFF" w:rsidP="0082059F">
      <w:pPr>
        <w:pStyle w:val="NormalnyIRIESD"/>
      </w:pPr>
      <w:r w:rsidRPr="00E60FFF">
        <w:t xml:space="preserve">IIV.3.2.32. </w:t>
      </w:r>
      <w:r w:rsidR="00FD0AB9" w:rsidRPr="00FD0AB9">
        <w:t>O wprowadzeniu ograniczeń w dostarczaniu i poborze energii elektrycznej oraz o</w:t>
      </w:r>
      <w:r w:rsidR="00FD0AB9">
        <w:t> </w:t>
      </w:r>
      <w:r w:rsidR="00FD0AB9" w:rsidRPr="00FD0AB9">
        <w:t xml:space="preserve">wprowadzeniu, w trakcie trwania ograniczeń w dostarczaniu i poborze energii elektrycznej, innych stopni zasilania niż stopnie zasilania ogłoszone w komunikatach radiowych, OSP powiadamia służby dyspozytorskie oraz ruchowe </w:t>
      </w:r>
      <w:r>
        <w:t xml:space="preserve">OSD za pośrednictwem </w:t>
      </w:r>
      <w:proofErr w:type="spellStart"/>
      <w:r>
        <w:t>OSDp</w:t>
      </w:r>
      <w:proofErr w:type="spellEnd"/>
      <w:r>
        <w:t>.</w:t>
      </w:r>
    </w:p>
    <w:p w14:paraId="02B782F5" w14:textId="09B7BBD2" w:rsidR="00E60FFF" w:rsidRDefault="00E60FFF" w:rsidP="0082059F">
      <w:pPr>
        <w:pStyle w:val="NormalnyIRIESD"/>
      </w:pPr>
      <w:r w:rsidRPr="00E60FFF">
        <w:t xml:space="preserve">IV.3.2.33. </w:t>
      </w:r>
      <w:r w:rsidR="00FD0AB9">
        <w:t>OSD</w:t>
      </w:r>
      <w:r w:rsidR="00FD0AB9" w:rsidRPr="00FD0AB9">
        <w:t xml:space="preserve"> indywidualnie powiadamia odbiorców przyłączonych do sieci dystrybucyjnej o</w:t>
      </w:r>
      <w:r w:rsidR="00FD0AB9">
        <w:t> </w:t>
      </w:r>
      <w:r w:rsidR="00FD0AB9" w:rsidRPr="00FD0AB9">
        <w:t>wprowadzeniu ograniczeń w dostarczaniu i poborze energii elektrycznej oraz o wprowadzeniu, w</w:t>
      </w:r>
      <w:r w:rsidR="00FD0AB9">
        <w:t> </w:t>
      </w:r>
      <w:r w:rsidR="00FD0AB9" w:rsidRPr="00FD0AB9">
        <w:t>trakcie trwania ograniczeń w dostarczaniu i poborze energii elektrycznej, innych stopni zasilania niż stopnie zasilania ogłoszone w komunikatach radiowych, przesyłając wiadomość tekstową na adres poczty elektronicznej lub na numer telefonu komórkowego wskazany przez odbiorcę w</w:t>
      </w:r>
      <w:r w:rsidR="00FD0AB9">
        <w:t> </w:t>
      </w:r>
      <w:r w:rsidR="00FD0AB9" w:rsidRPr="00FD0AB9">
        <w:t>umowach dystrybucyjnych albo kompleksowych. Powiadomienia te są stosowane przez odbiorcę w pierwszej kolejności w stosunku do powiadomień ogłaszanych w komunikatach radiowych</w:t>
      </w:r>
      <w:r w:rsidRPr="00E60FFF">
        <w:t>.</w:t>
      </w:r>
    </w:p>
    <w:p w14:paraId="5938BB81" w14:textId="0D5A3092" w:rsidR="00E60FFF" w:rsidRDefault="00FD0AB9" w:rsidP="0082059F">
      <w:pPr>
        <w:pStyle w:val="NormalnyIRIESD"/>
      </w:pPr>
      <w:r w:rsidRPr="00FD0AB9">
        <w:t xml:space="preserve">Jeżeli umowa dystrybucyjna albo kompleksowa nie zawiera adresu poczty elektronicznej lub numeru telefonu komórkowego, do czasu przekazania </w:t>
      </w:r>
      <w:r>
        <w:t>OSD</w:t>
      </w:r>
      <w:r w:rsidRPr="00FD0AB9">
        <w:t xml:space="preserve"> przez odbiorcę adresu poczty elektronicznej lub numeru telefonu komórkowego, o którym mowa powyżej, </w:t>
      </w:r>
      <w:r>
        <w:t>OSD</w:t>
      </w:r>
      <w:r w:rsidRPr="00FD0AB9">
        <w:t xml:space="preserve"> nie powiadamia odbiorcy o wprowadzeniu ograniczeń w dostarczaniu i poborze energii elektrycznej oraz wprowadzeniu innych stopni zasilania niż stopnie zasilania ogłoszone w komunikatach radiowych</w:t>
      </w:r>
      <w:r w:rsidR="00E60FFF" w:rsidRPr="00E60FFF">
        <w:t>.</w:t>
      </w:r>
    </w:p>
    <w:p w14:paraId="1D3C855F" w14:textId="2CA76964" w:rsidR="001250BB" w:rsidRDefault="00FD0AB9" w:rsidP="0082059F">
      <w:pPr>
        <w:pStyle w:val="NormalnyIRIESD"/>
      </w:pPr>
      <w:r w:rsidRPr="00FD0AB9">
        <w:t xml:space="preserve">Odbiorcy są zobowiązani do niezwłocznego pisemnego informowania odpowiednio </w:t>
      </w:r>
      <w:r>
        <w:t>OSD</w:t>
      </w:r>
      <w:r w:rsidRPr="00FD0AB9">
        <w:t xml:space="preserve">, z którym zawarli umowę o świadczenie usługi dystrybucji albo sprzedawców, z którymi posiadają zawarte umowy kompleksowe, o każdej zmianie danych dotyczących adresu poczty elektronicznej lub numeru telefonu komórkowego, o których mowa powyżej wskazanych w umowach. Sprzedawcy, którzy posiadają zawarte umowy kompleksowe zobowiązani są do niezwłocznego informowania </w:t>
      </w:r>
      <w:r>
        <w:t>OSD</w:t>
      </w:r>
      <w:r w:rsidRPr="00FD0AB9">
        <w:t xml:space="preserve"> o zmianie tych danych</w:t>
      </w:r>
      <w:r w:rsidR="001250BB" w:rsidRPr="001250BB">
        <w:t>.</w:t>
      </w:r>
    </w:p>
    <w:p w14:paraId="562E2D46" w14:textId="091BD45E" w:rsidR="001250BB" w:rsidRPr="0082059F" w:rsidRDefault="001250BB" w:rsidP="0082059F">
      <w:pPr>
        <w:pStyle w:val="NormalnyIRIESD"/>
      </w:pPr>
      <w:r w:rsidRPr="001250BB">
        <w:t xml:space="preserve">IV.3.2.34. </w:t>
      </w:r>
      <w:r w:rsidR="00FD0AB9" w:rsidRPr="00FD0AB9">
        <w:t xml:space="preserve">Powiadomienia o zmianie wprowadzonych stopni zasilania innych niż stopnie zasilania ogłoszone w komunikatach radiowych, </w:t>
      </w:r>
      <w:proofErr w:type="spellStart"/>
      <w:r w:rsidR="00FD0AB9">
        <w:t>OSDp</w:t>
      </w:r>
      <w:proofErr w:type="spellEnd"/>
      <w:r w:rsidR="00FD0AB9" w:rsidRPr="00FD0AB9">
        <w:t xml:space="preserve"> zamieszcza również na swojej stronie internetowej. Powiadomienia te są stosowane przez odbiorcę w pierwszej kolejności w stosunku do powiadomień ogłaszanych w komunikatach radiowych</w:t>
      </w:r>
      <w:r w:rsidRPr="001250BB">
        <w:t>.”</w:t>
      </w:r>
    </w:p>
    <w:p w14:paraId="61B3B050" w14:textId="77777777" w:rsidR="00FD0AB9" w:rsidRDefault="00FD0AB9" w:rsidP="0091646E">
      <w:pPr>
        <w:pStyle w:val="pierwszy"/>
      </w:pPr>
      <w:r>
        <w:t xml:space="preserve">W </w:t>
      </w:r>
      <w:r w:rsidRPr="00FD0AB9">
        <w:t>punkcie IV.3.3.3. zmienia się zwrot „IV.3.2.9.” na „IV.3.2.30. oraz IV.3.2.32.</w:t>
      </w:r>
      <w:r>
        <w:t>”.</w:t>
      </w:r>
    </w:p>
    <w:p w14:paraId="32143C51" w14:textId="77777777" w:rsidR="00FD0AB9" w:rsidRDefault="00FD0AB9" w:rsidP="0091646E">
      <w:pPr>
        <w:pStyle w:val="pierwszy"/>
      </w:pPr>
      <w:r>
        <w:t xml:space="preserve">W </w:t>
      </w:r>
      <w:r w:rsidRPr="00FD0AB9">
        <w:t>punkcie IV.3.4.3. zmienia się zwrot „IV.3.2.8.c) ii)” na „</w:t>
      </w:r>
      <w:proofErr w:type="gramStart"/>
      <w:r w:rsidRPr="00FD0AB9">
        <w:t xml:space="preserve">IV.3.2.10 </w:t>
      </w:r>
      <w:r>
        <w:t>.</w:t>
      </w:r>
      <w:proofErr w:type="gramEnd"/>
      <w:r>
        <w:t>”.</w:t>
      </w:r>
    </w:p>
    <w:p w14:paraId="1EBB22F7" w14:textId="6114CE24" w:rsidR="00FD0AB9" w:rsidRDefault="00FD0AB9" w:rsidP="0091646E">
      <w:pPr>
        <w:pStyle w:val="pierwszy"/>
      </w:pPr>
      <w:r w:rsidRPr="00FD0AB9">
        <w:t>W punkcie V.7. podpunkty c) oraz d) otrzymują następujące brzmienie</w:t>
      </w:r>
      <w:r>
        <w:t>:</w:t>
      </w:r>
    </w:p>
    <w:p w14:paraId="76352493" w14:textId="108F9684" w:rsidR="00807FC2" w:rsidRPr="00807FC2" w:rsidRDefault="00807FC2" w:rsidP="00807FC2">
      <w:pPr>
        <w:pStyle w:val="NormalnyIRIESD"/>
      </w:pPr>
      <w:r>
        <w:t>„</w:t>
      </w:r>
    </w:p>
    <w:p w14:paraId="08BF9D1B" w14:textId="4DE7199E" w:rsidR="00FD0AB9" w:rsidRDefault="00807FC2" w:rsidP="00D702F8">
      <w:pPr>
        <w:pStyle w:val="drugi0"/>
      </w:pPr>
      <w:r w:rsidRPr="00807FC2">
        <w:t xml:space="preserve">aktualnej listy sprzedawców zawierających umowy sprzedaży rezerwowej, z którymi </w:t>
      </w:r>
      <w:r>
        <w:t>OSD</w:t>
      </w:r>
      <w:r w:rsidRPr="00807FC2">
        <w:t xml:space="preserve"> zawarł umowy o świadczenie usług dystrybucji energii elektrycznej, wraz z informacją o</w:t>
      </w:r>
      <w:r>
        <w:t> </w:t>
      </w:r>
      <w:r w:rsidRPr="00807FC2">
        <w:t>obszarze, na którym dany sprzedawca oferuje sprzedaż rezerwową</w:t>
      </w:r>
      <w:r>
        <w:t>,</w:t>
      </w:r>
    </w:p>
    <w:p w14:paraId="35CEADEC" w14:textId="344D953C" w:rsidR="00807FC2" w:rsidRPr="00807FC2" w:rsidRDefault="00807FC2" w:rsidP="00D702F8">
      <w:pPr>
        <w:pStyle w:val="drugi0"/>
      </w:pPr>
      <w:r w:rsidRPr="00807FC2">
        <w:t xml:space="preserve">aktualnej listy sprzedawców świadczących rezerwową usługę kompleksową, z którymi </w:t>
      </w:r>
      <w:r>
        <w:t>OSD</w:t>
      </w:r>
      <w:r w:rsidRPr="00807FC2">
        <w:t xml:space="preserve"> zawarł umowy o świadczenie usług dystrybucji energii elektrycznej, wraz z informacją o</w:t>
      </w:r>
      <w:r>
        <w:t> </w:t>
      </w:r>
      <w:r w:rsidRPr="00807FC2">
        <w:t>obszarze, na którym dany sprzedawca oferuje rezerwową usługę kompleksową</w:t>
      </w:r>
      <w:r>
        <w:t>,”</w:t>
      </w:r>
    </w:p>
    <w:p w14:paraId="013FB844" w14:textId="2303C659" w:rsidR="004A755C" w:rsidRDefault="00CC2CFB" w:rsidP="0091646E">
      <w:pPr>
        <w:pStyle w:val="pierwszy"/>
      </w:pPr>
      <w:r w:rsidRPr="00CC2CFB">
        <w:t xml:space="preserve"> </w:t>
      </w:r>
      <w:r w:rsidR="00807FC2" w:rsidRPr="00807FC2">
        <w:t>W punkcie A.2.1. podpunkt h) otrzymuje brzmienie</w:t>
      </w:r>
      <w:r w:rsidR="00807FC2">
        <w:t>:</w:t>
      </w:r>
    </w:p>
    <w:p w14:paraId="62DCFBB4" w14:textId="05351531" w:rsidR="00807FC2" w:rsidRPr="00807FC2" w:rsidRDefault="00807FC2" w:rsidP="00807FC2">
      <w:pPr>
        <w:pStyle w:val="NormalnyIRIESD"/>
      </w:pPr>
      <w:r>
        <w:t>„</w:t>
      </w:r>
    </w:p>
    <w:p w14:paraId="2D04C864" w14:textId="1A53A991" w:rsidR="00807FC2" w:rsidRDefault="00807FC2" w:rsidP="00817551">
      <w:pPr>
        <w:pStyle w:val="drugi0"/>
        <w:numPr>
          <w:ilvl w:val="0"/>
          <w:numId w:val="41"/>
        </w:numPr>
      </w:pPr>
      <w:r w:rsidRPr="00807FC2">
        <w:t>zasady opracowania, aktualizacji i udostępniania standardowych profili zużycia,”</w:t>
      </w:r>
    </w:p>
    <w:p w14:paraId="169CD614" w14:textId="080C9919" w:rsidR="00807FC2" w:rsidRDefault="00807FC2" w:rsidP="00807FC2">
      <w:pPr>
        <w:pStyle w:val="pierwszy"/>
      </w:pPr>
      <w:r w:rsidRPr="00807FC2">
        <w:t>W punkcie A.2.1. dodaje się podpunkt o) o następującej treści</w:t>
      </w:r>
      <w:r>
        <w:t>:</w:t>
      </w:r>
    </w:p>
    <w:p w14:paraId="665A03CF" w14:textId="75CC6F40" w:rsidR="00807FC2" w:rsidRPr="00807FC2" w:rsidRDefault="00807FC2" w:rsidP="00807FC2">
      <w:pPr>
        <w:pStyle w:val="NormalnyIRIESD"/>
      </w:pPr>
      <w:r>
        <w:t>„</w:t>
      </w:r>
    </w:p>
    <w:p w14:paraId="572B516F" w14:textId="3ED4F2FF" w:rsidR="00807FC2" w:rsidRDefault="00807FC2" w:rsidP="00817551">
      <w:pPr>
        <w:pStyle w:val="drugi0"/>
        <w:numPr>
          <w:ilvl w:val="0"/>
          <w:numId w:val="42"/>
        </w:numPr>
      </w:pPr>
      <w:r w:rsidRPr="00807FC2">
        <w:t>istotne postanowienia umów o świadczenie usług dystrybucji zawieranych ze sprzedawcami energii elektrycznej (GUD i GUD-K).”</w:t>
      </w:r>
    </w:p>
    <w:p w14:paraId="0A7AE726" w14:textId="07ECB34C" w:rsidR="00807FC2" w:rsidRDefault="00807FC2" w:rsidP="00807FC2">
      <w:pPr>
        <w:pStyle w:val="pierwszy"/>
      </w:pPr>
      <w:r w:rsidRPr="00807FC2">
        <w:t>W punkcie A.3.</w:t>
      </w:r>
      <w:r w:rsidR="00917477">
        <w:t>6</w:t>
      </w:r>
      <w:r w:rsidRPr="00807FC2">
        <w:t>. na końcu podpunktów a) oraz b) dodaje się zwrot:</w:t>
      </w:r>
    </w:p>
    <w:p w14:paraId="3F68036C" w14:textId="2CCFD0E3" w:rsidR="00807FC2" w:rsidRDefault="00807FC2" w:rsidP="00807FC2">
      <w:pPr>
        <w:pStyle w:val="NormalnyIRIESD"/>
      </w:pPr>
      <w:r w:rsidRPr="00807FC2">
        <w:t>„oraz informację o obszarze, na którym dany sprzedawca oferuje sprzedaż rezerwową”</w:t>
      </w:r>
    </w:p>
    <w:p w14:paraId="3B8D684F" w14:textId="4ACE04ED" w:rsidR="00807FC2" w:rsidRDefault="00807FC2" w:rsidP="00807FC2">
      <w:pPr>
        <w:pStyle w:val="pierwszy"/>
      </w:pPr>
      <w:r w:rsidRPr="00807FC2">
        <w:t>Usuwa się punkt A.3.1</w:t>
      </w:r>
      <w:r w:rsidR="008F4F74">
        <w:t>4</w:t>
      </w:r>
      <w:r w:rsidRPr="00807FC2">
        <w:t>.</w:t>
      </w:r>
    </w:p>
    <w:p w14:paraId="19416AFA" w14:textId="77777777" w:rsidR="009606ED" w:rsidRPr="009606ED" w:rsidRDefault="009606ED" w:rsidP="009606ED">
      <w:pPr>
        <w:pStyle w:val="pierwszy"/>
      </w:pPr>
      <w:r w:rsidRPr="009606ED">
        <w:t>W punkcie A.7.2. ostatnie zdanie otrzymuje brzmienie:</w:t>
      </w:r>
    </w:p>
    <w:p w14:paraId="6CDCD175" w14:textId="39C8A2D0" w:rsidR="009606ED" w:rsidRPr="009606ED" w:rsidRDefault="009606ED" w:rsidP="009606ED">
      <w:pPr>
        <w:pStyle w:val="pierwszy"/>
        <w:numPr>
          <w:ilvl w:val="0"/>
          <w:numId w:val="0"/>
        </w:numPr>
        <w:ind w:left="357"/>
      </w:pPr>
      <w:r w:rsidRPr="009606ED">
        <w:t xml:space="preserve">„Zasady składania oferty określa umowa GUD-K oraz </w:t>
      </w:r>
      <w:proofErr w:type="spellStart"/>
      <w:r w:rsidRPr="009606ED">
        <w:t>IRiESD</w:t>
      </w:r>
      <w:proofErr w:type="spellEnd"/>
      <w:r w:rsidRPr="009606ED">
        <w:t>.”</w:t>
      </w:r>
    </w:p>
    <w:p w14:paraId="6CBD6B42" w14:textId="32B48977" w:rsidR="009606ED" w:rsidRDefault="009606ED" w:rsidP="003657EC">
      <w:pPr>
        <w:pStyle w:val="pierwszy"/>
      </w:pPr>
      <w:r w:rsidRPr="009606ED">
        <w:t>W punkcie A.8.2. ostatnie zdanie otrzymuje brzmienie:</w:t>
      </w:r>
    </w:p>
    <w:p w14:paraId="530A70D9" w14:textId="0B2A08F5" w:rsidR="009606ED" w:rsidRPr="009606ED" w:rsidRDefault="009606ED" w:rsidP="009606ED">
      <w:pPr>
        <w:pStyle w:val="NormalnyIRIESD"/>
      </w:pPr>
      <w:r w:rsidRPr="009606ED">
        <w:t xml:space="preserve">„Zasady składania oferty określa umowa GUD oraz </w:t>
      </w:r>
      <w:proofErr w:type="spellStart"/>
      <w:r w:rsidRPr="009606ED">
        <w:t>IRiESD</w:t>
      </w:r>
      <w:proofErr w:type="spellEnd"/>
      <w:r w:rsidRPr="009606ED">
        <w:t>.”</w:t>
      </w:r>
    </w:p>
    <w:p w14:paraId="5EC7CDBF" w14:textId="6E5C79E6" w:rsidR="003657EC" w:rsidRDefault="003657EC" w:rsidP="003657EC">
      <w:pPr>
        <w:pStyle w:val="pierwszy"/>
      </w:pPr>
      <w:r w:rsidRPr="003657EC">
        <w:t>Usuwa się punkt A.11.</w:t>
      </w:r>
    </w:p>
    <w:p w14:paraId="1FE1E303" w14:textId="40A0F7C8" w:rsidR="003657EC" w:rsidRDefault="003657EC" w:rsidP="003657EC">
      <w:pPr>
        <w:pStyle w:val="pierwszy"/>
      </w:pPr>
      <w:r w:rsidRPr="003657EC">
        <w:t>W punkcie D.3.6. zastępuje się zwrot „nr PPE” zwrotem „kod PPE”.</w:t>
      </w:r>
    </w:p>
    <w:p w14:paraId="7A4E9BE1" w14:textId="131A30E0" w:rsidR="003657EC" w:rsidRDefault="003657EC" w:rsidP="003657EC">
      <w:pPr>
        <w:pStyle w:val="pierwszy"/>
      </w:pPr>
      <w:r w:rsidRPr="003657EC">
        <w:t>Rozdział G. otrzymuje następujący tytuł:</w:t>
      </w:r>
    </w:p>
    <w:p w14:paraId="6ED1C2C9" w14:textId="05058C38" w:rsidR="003657EC" w:rsidRDefault="003657EC" w:rsidP="003657EC">
      <w:pPr>
        <w:pStyle w:val="NormalnyIRIESD"/>
      </w:pPr>
      <w:r w:rsidRPr="003657EC">
        <w:t>„ZASADY OPRACOWANIA, AKTUALIZACJI I UDOSTEPNIANIA STANDARDOWYCH PROFILI ZUŻYCIA”</w:t>
      </w:r>
    </w:p>
    <w:p w14:paraId="40E0EB34" w14:textId="240D59B2" w:rsidR="003657EC" w:rsidRDefault="003657EC" w:rsidP="003657EC">
      <w:pPr>
        <w:pStyle w:val="pierwszy"/>
      </w:pPr>
      <w:r w:rsidRPr="003657EC">
        <w:t>W punkcie G.1. słowo „określa” zamienia się na „opracowuje i aktualizuje” oraz na końcu dodaje się zdania:</w:t>
      </w:r>
    </w:p>
    <w:p w14:paraId="1565BE73" w14:textId="2F66731A" w:rsidR="003657EC" w:rsidRPr="003657EC" w:rsidRDefault="003657EC" w:rsidP="003657EC">
      <w:pPr>
        <w:pStyle w:val="NormalnyIRIESD"/>
      </w:pPr>
      <w:r w:rsidRPr="003657EC">
        <w:t xml:space="preserve">„Profile </w:t>
      </w:r>
      <w:r w:rsidR="00E229AB" w:rsidRPr="00E229AB">
        <w:t xml:space="preserve">są przedstawione w tabelach w rozdziale G. </w:t>
      </w:r>
      <w:proofErr w:type="spellStart"/>
      <w:r w:rsidR="00E229AB" w:rsidRPr="00E229AB">
        <w:t>IRiESD</w:t>
      </w:r>
      <w:proofErr w:type="spellEnd"/>
      <w:r w:rsidR="00E229AB" w:rsidRPr="00E229AB">
        <w:t>, która jest udostępniana do wglądu w</w:t>
      </w:r>
      <w:r w:rsidR="00E229AB">
        <w:t> </w:t>
      </w:r>
      <w:r w:rsidR="00E229AB" w:rsidRPr="00E229AB">
        <w:t xml:space="preserve">siedzibie OSD </w:t>
      </w:r>
      <w:r w:rsidR="00E229AB" w:rsidRPr="00AA71C4">
        <w:t>oraz zamieszczona na stronie internetowej OSD</w:t>
      </w:r>
      <w:r w:rsidRPr="00AA71C4">
        <w:t>.</w:t>
      </w:r>
      <w:r w:rsidRPr="003657EC">
        <w:t xml:space="preserve"> </w:t>
      </w:r>
    </w:p>
    <w:p w14:paraId="2F36BE6F" w14:textId="7B47FED7" w:rsidR="003657EC" w:rsidRPr="003657EC" w:rsidRDefault="003657EC" w:rsidP="003657EC">
      <w:pPr>
        <w:pStyle w:val="NormalnyIRIESD"/>
      </w:pPr>
      <w:r w:rsidRPr="003657EC">
        <w:t>Profile są opracowywane i aktualizowane w zależności od zmienności danych będących podstawą ich opracowania.”.</w:t>
      </w:r>
    </w:p>
    <w:p w14:paraId="0C7C28A3" w14:textId="6F08BCC0" w:rsidR="00CC2CFB" w:rsidRDefault="00D702F8" w:rsidP="0091646E">
      <w:pPr>
        <w:pStyle w:val="pierwszy"/>
      </w:pPr>
      <w:r w:rsidRPr="00D702F8">
        <w:t>W SŁOWNIKU SKRÓTÓW I DEFINICJI w OZNACZENIACH SKRÓTÓW</w:t>
      </w:r>
      <w:r w:rsidR="00CC2CFB" w:rsidRPr="00CC2CFB">
        <w:t>:</w:t>
      </w:r>
    </w:p>
    <w:p w14:paraId="105A117A" w14:textId="3A96235E" w:rsidR="00D702F8" w:rsidRDefault="00D702F8" w:rsidP="00817551">
      <w:pPr>
        <w:pStyle w:val="drugi0"/>
        <w:numPr>
          <w:ilvl w:val="0"/>
          <w:numId w:val="45"/>
        </w:numPr>
      </w:pPr>
      <w:r w:rsidRPr="00D702F8">
        <w:t>usuwa się skrót „CSWI” i „DUŁ”,</w:t>
      </w:r>
    </w:p>
    <w:p w14:paraId="2CD7AE2F" w14:textId="239A2806" w:rsidR="00D702F8" w:rsidRPr="00D702F8" w:rsidRDefault="00D702F8" w:rsidP="00D702F8">
      <w:pPr>
        <w:pStyle w:val="drugi0"/>
      </w:pPr>
      <w:r w:rsidRPr="00D702F8">
        <w:t>dodaje się skróty o następującym brzmieniu:</w:t>
      </w:r>
    </w:p>
    <w:tbl>
      <w:tblPr>
        <w:tblStyle w:val="Tabela-Siatk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6"/>
        <w:gridCol w:w="7613"/>
      </w:tblGrid>
      <w:tr w:rsidR="00EE6E99" w14:paraId="368A9B9D" w14:textId="77777777" w:rsidTr="00807E13">
        <w:tc>
          <w:tcPr>
            <w:tcW w:w="1906" w:type="dxa"/>
          </w:tcPr>
          <w:p w14:paraId="0047A1BA" w14:textId="0477BCEF" w:rsidR="00EE6E99" w:rsidRPr="00EE6E99" w:rsidRDefault="00D702F8" w:rsidP="00EE6E99">
            <w:pPr>
              <w:pStyle w:val="Nagwek1"/>
              <w:spacing w:after="120"/>
              <w:outlineLvl w:val="0"/>
            </w:pPr>
            <w:bookmarkStart w:id="23" w:name="_Hlk84775566"/>
            <w:r>
              <w:t>LZO</w:t>
            </w:r>
          </w:p>
        </w:tc>
        <w:tc>
          <w:tcPr>
            <w:tcW w:w="7613" w:type="dxa"/>
          </w:tcPr>
          <w:p w14:paraId="5714082D" w14:textId="00FDE4A9" w:rsidR="00EE6E99" w:rsidRPr="00EE6E99" w:rsidRDefault="00D702F8" w:rsidP="00807E13">
            <w:r>
              <w:t>Licznik zdalnego odczytu</w:t>
            </w:r>
          </w:p>
        </w:tc>
      </w:tr>
      <w:tr w:rsidR="00EE6E99" w14:paraId="6E8151D4" w14:textId="77777777" w:rsidTr="00807E13">
        <w:tc>
          <w:tcPr>
            <w:tcW w:w="1906" w:type="dxa"/>
          </w:tcPr>
          <w:p w14:paraId="7E80A229" w14:textId="519D04C9" w:rsidR="00EE6E99" w:rsidRPr="00EE6E99" w:rsidRDefault="00D702F8" w:rsidP="00EE6E99">
            <w:pPr>
              <w:rPr>
                <w:rFonts w:cs="Times New Roman"/>
                <w:b/>
                <w:bCs/>
                <w:szCs w:val="24"/>
              </w:rPr>
            </w:pPr>
            <w:r>
              <w:rPr>
                <w:rFonts w:cs="Times New Roman"/>
                <w:b/>
                <w:bCs/>
                <w:szCs w:val="24"/>
              </w:rPr>
              <w:t>Prosument zbiorowy</w:t>
            </w:r>
          </w:p>
        </w:tc>
        <w:tc>
          <w:tcPr>
            <w:tcW w:w="7613" w:type="dxa"/>
          </w:tcPr>
          <w:p w14:paraId="27D9EDB7" w14:textId="399757B8" w:rsidR="00EE6E99" w:rsidRPr="00EE6E99" w:rsidRDefault="00D702F8" w:rsidP="00807E13">
            <w:r>
              <w:t>Prosument zbiorowy energii odnawialnej</w:t>
            </w:r>
          </w:p>
        </w:tc>
      </w:tr>
    </w:tbl>
    <w:bookmarkEnd w:id="23"/>
    <w:p w14:paraId="1AA42BEC" w14:textId="1A4BEDFC" w:rsidR="00D702F8" w:rsidRPr="00D702F8" w:rsidRDefault="00D702F8" w:rsidP="00D702F8">
      <w:pPr>
        <w:pStyle w:val="pierwszy"/>
      </w:pPr>
      <w:r w:rsidRPr="00D702F8">
        <w:t>W SŁOWNIKU SKRÓTÓW I DEFINICJI w POJĘCIACH I DEFINICJACH:</w:t>
      </w:r>
    </w:p>
    <w:p w14:paraId="2483B135" w14:textId="4F35B213" w:rsidR="00D702F8" w:rsidRDefault="00D702F8" w:rsidP="00817551">
      <w:pPr>
        <w:pStyle w:val="drugi0"/>
        <w:numPr>
          <w:ilvl w:val="0"/>
          <w:numId w:val="46"/>
        </w:numPr>
      </w:pPr>
      <w:r w:rsidRPr="00D702F8">
        <w:t xml:space="preserve">usuwa się definicję „Dostawca usług ładowania”. </w:t>
      </w:r>
    </w:p>
    <w:p w14:paraId="1EB9EC13" w14:textId="3DE771ED" w:rsidR="00D702F8" w:rsidRPr="00D702F8" w:rsidRDefault="00D702F8" w:rsidP="00817551">
      <w:pPr>
        <w:pStyle w:val="drugi0"/>
        <w:numPr>
          <w:ilvl w:val="0"/>
          <w:numId w:val="46"/>
        </w:numPr>
        <w:rPr>
          <w:sz w:val="23"/>
          <w:szCs w:val="23"/>
        </w:rPr>
      </w:pPr>
      <w:r w:rsidRPr="00D702F8">
        <w:rPr>
          <w:sz w:val="23"/>
          <w:szCs w:val="23"/>
        </w:rPr>
        <w:t>zmienia się następujące definicje</w:t>
      </w:r>
      <w:r>
        <w:rPr>
          <w:sz w:val="23"/>
          <w:szCs w:val="23"/>
        </w:rPr>
        <w:t>:</w:t>
      </w:r>
    </w:p>
    <w:tbl>
      <w:tblPr>
        <w:tblStyle w:val="Tabela-Siatka"/>
        <w:tblW w:w="0" w:type="auto"/>
        <w:tblInd w:w="3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20"/>
        <w:gridCol w:w="6899"/>
      </w:tblGrid>
      <w:tr w:rsidR="002F2745" w:rsidRPr="002F2745" w14:paraId="67009E98" w14:textId="77777777" w:rsidTr="00F554DA">
        <w:tc>
          <w:tcPr>
            <w:tcW w:w="2620" w:type="dxa"/>
          </w:tcPr>
          <w:p w14:paraId="16ADE60D" w14:textId="1674FD53" w:rsidR="002F2745" w:rsidRPr="002F2745" w:rsidRDefault="00D702F8" w:rsidP="00807E13">
            <w:pPr>
              <w:pStyle w:val="Nagwek1"/>
              <w:outlineLvl w:val="0"/>
            </w:pPr>
            <w:bookmarkStart w:id="24" w:name="_Hlk84776087"/>
            <w:r>
              <w:t>Licznik zdalnego odczytu</w:t>
            </w:r>
          </w:p>
        </w:tc>
        <w:tc>
          <w:tcPr>
            <w:tcW w:w="6899" w:type="dxa"/>
          </w:tcPr>
          <w:p w14:paraId="285F31A7" w14:textId="7B0DD4BD" w:rsidR="002F2745" w:rsidRPr="00D702F8" w:rsidRDefault="00D702F8" w:rsidP="00D702F8">
            <w:pPr>
              <w:pStyle w:val="Default"/>
              <w:jc w:val="both"/>
              <w:rPr>
                <w:sz w:val="23"/>
                <w:szCs w:val="23"/>
              </w:rPr>
            </w:pPr>
            <w:r>
              <w:rPr>
                <w:sz w:val="23"/>
                <w:szCs w:val="23"/>
              </w:rPr>
              <w:t>Przyrząd pomiarowy w rozumieniu art. 4 pkt 5 ustawy z dnia 11 maja 2001 r. - Prawo o miarach (Dz. U. z 2021 r. poz. 2068), służący do pomiaru energii elektrycznej i rozliczeń za tę energię, wyposażony w funkcję komunikacji z systemem zdalnego odczytu.</w:t>
            </w:r>
          </w:p>
        </w:tc>
      </w:tr>
      <w:tr w:rsidR="002F2745" w:rsidRPr="002F2745" w14:paraId="6A91D6C9" w14:textId="77777777" w:rsidTr="00F554DA">
        <w:tc>
          <w:tcPr>
            <w:tcW w:w="2620" w:type="dxa"/>
          </w:tcPr>
          <w:p w14:paraId="1DD11FA3" w14:textId="5456D03C" w:rsidR="002F2745" w:rsidRPr="002F2745" w:rsidRDefault="00D702F8" w:rsidP="00807E13">
            <w:pPr>
              <w:pStyle w:val="Nagwek1"/>
              <w:outlineLvl w:val="0"/>
            </w:pPr>
            <w:r>
              <w:t>Magazyn energii elektrycznej</w:t>
            </w:r>
          </w:p>
        </w:tc>
        <w:tc>
          <w:tcPr>
            <w:tcW w:w="6899" w:type="dxa"/>
          </w:tcPr>
          <w:p w14:paraId="7AB771B3" w14:textId="7128F0FE" w:rsidR="002F2745" w:rsidRPr="002F2745" w:rsidRDefault="00D702F8" w:rsidP="002F2745">
            <w:pPr>
              <w:spacing w:after="120"/>
              <w:rPr>
                <w:rFonts w:cs="Times New Roman"/>
                <w:szCs w:val="24"/>
              </w:rPr>
            </w:pPr>
            <w:r>
              <w:rPr>
                <w:rFonts w:cs="Times New Roman"/>
                <w:szCs w:val="24"/>
              </w:rPr>
              <w:t>Instalacja umożliwiająca magazynowanie energii elektrycznej i</w:t>
            </w:r>
            <w:r w:rsidR="00906EDF">
              <w:rPr>
                <w:rFonts w:cs="Times New Roman"/>
                <w:szCs w:val="24"/>
              </w:rPr>
              <w:t> </w:t>
            </w:r>
            <w:r>
              <w:rPr>
                <w:rFonts w:cs="Times New Roman"/>
                <w:szCs w:val="24"/>
              </w:rPr>
              <w:t>wprowadzenie jej do sieci elektroenergetycznej</w:t>
            </w:r>
            <w:r w:rsidR="002F2745" w:rsidRPr="002F2745">
              <w:rPr>
                <w:rFonts w:cs="Times New Roman"/>
                <w:szCs w:val="24"/>
              </w:rPr>
              <w:t>.</w:t>
            </w:r>
          </w:p>
        </w:tc>
      </w:tr>
      <w:tr w:rsidR="002F2745" w:rsidRPr="002F2745" w14:paraId="458CA518" w14:textId="77777777" w:rsidTr="00F554DA">
        <w:tc>
          <w:tcPr>
            <w:tcW w:w="2620" w:type="dxa"/>
          </w:tcPr>
          <w:p w14:paraId="77E9D979" w14:textId="3E758F17" w:rsidR="002F2745" w:rsidRPr="002F2745" w:rsidRDefault="00D702F8" w:rsidP="00807E13">
            <w:pPr>
              <w:pStyle w:val="Nagwek1"/>
              <w:outlineLvl w:val="0"/>
            </w:pPr>
            <w:r>
              <w:t>Mała instalacja</w:t>
            </w:r>
          </w:p>
        </w:tc>
        <w:tc>
          <w:tcPr>
            <w:tcW w:w="6899" w:type="dxa"/>
          </w:tcPr>
          <w:p w14:paraId="6148EBD8" w14:textId="770A8EED" w:rsidR="002F2745" w:rsidRPr="002F2745" w:rsidRDefault="00D702F8" w:rsidP="002F2745">
            <w:pPr>
              <w:spacing w:after="120"/>
              <w:rPr>
                <w:rFonts w:cs="Times New Roman"/>
                <w:szCs w:val="24"/>
              </w:rPr>
            </w:pPr>
            <w:r>
              <w:rPr>
                <w:rFonts w:cs="Times New Roman"/>
                <w:szCs w:val="24"/>
              </w:rPr>
              <w:t>Instalacja odnawialnego źródła energii o łącznej mocy zainstalowanej elektrycznej większej niż 50 kW i nie większej niż 1 MW</w:t>
            </w:r>
            <w:r w:rsidR="00906EDF">
              <w:rPr>
                <w:rFonts w:cs="Times New Roman"/>
                <w:szCs w:val="24"/>
              </w:rPr>
              <w:t xml:space="preserve">, przyłączoną do sieci elektroenergetycznej o napięciu znamionowym niższym niż 110 </w:t>
            </w:r>
            <w:proofErr w:type="spellStart"/>
            <w:r w:rsidR="00906EDF">
              <w:rPr>
                <w:rFonts w:cs="Times New Roman"/>
                <w:szCs w:val="24"/>
              </w:rPr>
              <w:t>kV</w:t>
            </w:r>
            <w:proofErr w:type="spellEnd"/>
            <w:r w:rsidR="00906EDF">
              <w:rPr>
                <w:rFonts w:cs="Times New Roman"/>
                <w:szCs w:val="24"/>
              </w:rPr>
              <w:t xml:space="preserve"> albo o mocy osiągalnej cieplnej w skojarzeniu większej niż 150 kW i mniejszej niż 3 MW, w której łączna moc zainstalowana elektryczna jest większa niż 50 kW i nie większa niż 1 MW</w:t>
            </w:r>
            <w:r w:rsidR="002F2745" w:rsidRPr="002F2745">
              <w:rPr>
                <w:rFonts w:cs="Times New Roman"/>
                <w:szCs w:val="24"/>
              </w:rPr>
              <w:t>.</w:t>
            </w:r>
          </w:p>
        </w:tc>
      </w:tr>
      <w:tr w:rsidR="002F2745" w:rsidRPr="002F2745" w14:paraId="51188D74" w14:textId="77777777" w:rsidTr="00F554DA">
        <w:tc>
          <w:tcPr>
            <w:tcW w:w="2620" w:type="dxa"/>
          </w:tcPr>
          <w:p w14:paraId="3FA66B93" w14:textId="5E126D3B" w:rsidR="002F2745" w:rsidRPr="002F2745" w:rsidRDefault="00906EDF" w:rsidP="00807E13">
            <w:pPr>
              <w:pStyle w:val="Nagwek1"/>
              <w:outlineLvl w:val="0"/>
            </w:pPr>
            <w:r>
              <w:t>Odbiorca końcowy</w:t>
            </w:r>
          </w:p>
        </w:tc>
        <w:tc>
          <w:tcPr>
            <w:tcW w:w="6899" w:type="dxa"/>
          </w:tcPr>
          <w:p w14:paraId="6E79C8C8" w14:textId="617E8685" w:rsidR="002F2745" w:rsidRPr="002F2745" w:rsidRDefault="00906EDF" w:rsidP="002F2745">
            <w:pPr>
              <w:spacing w:after="120"/>
              <w:rPr>
                <w:rFonts w:cs="Times New Roman"/>
                <w:szCs w:val="24"/>
              </w:rPr>
            </w:pPr>
            <w:r>
              <w:rPr>
                <w:rFonts w:cs="Times New Roman"/>
                <w:szCs w:val="24"/>
              </w:rPr>
              <w:t>Odbiorca dokonujący zakupu energii elektrycznej na własny użytek; do własnego użytku nie zalicza się energii elektrycznej zakupionej w celu jej magazynowania lub zużycia na potrzeby wytwarzania, przesyłania lub dystrybucji energii elektrycznej.</w:t>
            </w:r>
          </w:p>
        </w:tc>
      </w:tr>
      <w:tr w:rsidR="002F2745" w:rsidRPr="002F2745" w14:paraId="38731B62" w14:textId="77777777" w:rsidTr="00F554DA">
        <w:tc>
          <w:tcPr>
            <w:tcW w:w="2620" w:type="dxa"/>
          </w:tcPr>
          <w:p w14:paraId="35F76B17" w14:textId="4BA48EDF" w:rsidR="002F2745" w:rsidRPr="002F2745" w:rsidRDefault="00845DCD" w:rsidP="00807E13">
            <w:pPr>
              <w:pStyle w:val="Nagwek1"/>
              <w:outlineLvl w:val="0"/>
            </w:pPr>
            <w:r>
              <w:t>Przedsiębiorstwo energetyczne</w:t>
            </w:r>
          </w:p>
        </w:tc>
        <w:tc>
          <w:tcPr>
            <w:tcW w:w="6899" w:type="dxa"/>
          </w:tcPr>
          <w:p w14:paraId="6FD423ED" w14:textId="52F71D26" w:rsidR="00F554DA" w:rsidRPr="002F2745" w:rsidRDefault="006F64DD" w:rsidP="002F2745">
            <w:pPr>
              <w:rPr>
                <w:rFonts w:cs="Times New Roman"/>
                <w:szCs w:val="24"/>
              </w:rPr>
            </w:pPr>
            <w:r>
              <w:rPr>
                <w:rFonts w:cs="Times New Roman"/>
                <w:szCs w:val="24"/>
              </w:rPr>
              <w:t>Podmiot prowadzący działalność gospodarczą w zakresie: wytwarzania, magazynowania, przesyłania, dystrybucji energii elektrycznej lub obrotu nimi</w:t>
            </w:r>
            <w:r w:rsidR="002F2745" w:rsidRPr="002F2745">
              <w:rPr>
                <w:rFonts w:cs="Times New Roman"/>
                <w:szCs w:val="24"/>
              </w:rPr>
              <w:t>.</w:t>
            </w:r>
          </w:p>
        </w:tc>
      </w:tr>
      <w:tr w:rsidR="00F554DA" w:rsidRPr="002F2745" w14:paraId="76097363" w14:textId="77777777" w:rsidTr="00F554DA">
        <w:tc>
          <w:tcPr>
            <w:tcW w:w="2620" w:type="dxa"/>
          </w:tcPr>
          <w:p w14:paraId="2BF977A2" w14:textId="5CC52E48" w:rsidR="00F554DA" w:rsidRPr="002F2745" w:rsidRDefault="006F64DD" w:rsidP="00807E13">
            <w:pPr>
              <w:pStyle w:val="Nagwek1"/>
              <w:outlineLvl w:val="0"/>
            </w:pPr>
            <w:r>
              <w:t>Punkt poboru energii</w:t>
            </w:r>
          </w:p>
        </w:tc>
        <w:tc>
          <w:tcPr>
            <w:tcW w:w="6899" w:type="dxa"/>
          </w:tcPr>
          <w:p w14:paraId="1C6F5480" w14:textId="0653F028" w:rsidR="00F554DA" w:rsidRPr="002F2745" w:rsidRDefault="006F64DD" w:rsidP="002F2745">
            <w:pPr>
              <w:rPr>
                <w:rFonts w:cs="Times New Roman"/>
                <w:szCs w:val="24"/>
              </w:rPr>
            </w:pPr>
            <w:r>
              <w:rPr>
                <w:rFonts w:cs="Times New Roman"/>
                <w:szCs w:val="24"/>
              </w:rPr>
              <w:t>Punkt pomiarowy w instalacji lub sieci, dla którego dokonuje się rozliczeń oraz dla którego może nastąpić zmiana sprzedawcy.</w:t>
            </w:r>
          </w:p>
        </w:tc>
      </w:tr>
      <w:tr w:rsidR="006F64DD" w:rsidRPr="002F2745" w14:paraId="6FF20FD9" w14:textId="77777777" w:rsidTr="00F554DA">
        <w:tc>
          <w:tcPr>
            <w:tcW w:w="2620" w:type="dxa"/>
          </w:tcPr>
          <w:p w14:paraId="5515371A" w14:textId="0E7F28BB" w:rsidR="006F64DD" w:rsidRDefault="006F64DD" w:rsidP="00807E13">
            <w:pPr>
              <w:pStyle w:val="Nagwek1"/>
              <w:outlineLvl w:val="0"/>
            </w:pPr>
            <w:r>
              <w:t>Układ pomiarowo - rozliczeniowy</w:t>
            </w:r>
          </w:p>
        </w:tc>
        <w:tc>
          <w:tcPr>
            <w:tcW w:w="6899" w:type="dxa"/>
          </w:tcPr>
          <w:p w14:paraId="29EFCF57" w14:textId="46E65CFD" w:rsidR="006F64DD" w:rsidRDefault="006F64DD" w:rsidP="002F2745">
            <w:pPr>
              <w:rPr>
                <w:rFonts w:cs="Times New Roman"/>
                <w:szCs w:val="24"/>
              </w:rPr>
            </w:pPr>
            <w:r>
              <w:rPr>
                <w:rFonts w:cs="Times New Roman"/>
                <w:szCs w:val="24"/>
              </w:rPr>
              <w:t>Urządzenia pomiarowo-rozliczeniowe, liczniki i inne przyrządy pomiarowe, a także układy połączeń między nimi, służące bezpośrednio lub pośrednio do pomiarów ilości energii elektrycznej i</w:t>
            </w:r>
            <w:r w:rsidR="00AA71C4">
              <w:rPr>
                <w:rFonts w:cs="Times New Roman"/>
                <w:szCs w:val="24"/>
              </w:rPr>
              <w:t> </w:t>
            </w:r>
            <w:r>
              <w:rPr>
                <w:rFonts w:cs="Times New Roman"/>
                <w:szCs w:val="24"/>
              </w:rPr>
              <w:t>rozliczeń za tę energię, w szczególności liczniki energii czynnej i</w:t>
            </w:r>
            <w:r w:rsidR="00AA71C4">
              <w:rPr>
                <w:rFonts w:cs="Times New Roman"/>
                <w:szCs w:val="24"/>
              </w:rPr>
              <w:t> </w:t>
            </w:r>
            <w:r>
              <w:rPr>
                <w:rFonts w:cs="Times New Roman"/>
                <w:szCs w:val="24"/>
              </w:rPr>
              <w:t>liczniki energii biernej, w tym takie liczniki wraz z przekładniami prądowymi i napięciowymi.</w:t>
            </w:r>
          </w:p>
        </w:tc>
      </w:tr>
    </w:tbl>
    <w:bookmarkEnd w:id="24"/>
    <w:p w14:paraId="4FF8D27C" w14:textId="116F1D82" w:rsidR="00CC2CFB" w:rsidRDefault="006F64DD" w:rsidP="006F64DD">
      <w:pPr>
        <w:pStyle w:val="drugi0"/>
      </w:pPr>
      <w:r>
        <w:t>Dodaje się następujące definicje</w:t>
      </w:r>
      <w:r w:rsidR="00CC2CFB" w:rsidRPr="00CC2CFB">
        <w:t>:</w:t>
      </w:r>
    </w:p>
    <w:tbl>
      <w:tblPr>
        <w:tblStyle w:val="Tabela-Siatka"/>
        <w:tblW w:w="0" w:type="auto"/>
        <w:tblInd w:w="357" w:type="dxa"/>
        <w:tblLook w:val="04A0" w:firstRow="1" w:lastRow="0" w:firstColumn="1" w:lastColumn="0" w:noHBand="0" w:noVBand="1"/>
      </w:tblPr>
      <w:tblGrid>
        <w:gridCol w:w="2620"/>
        <w:gridCol w:w="6899"/>
      </w:tblGrid>
      <w:tr w:rsidR="002F2745" w:rsidRPr="002F2745" w14:paraId="616C491F" w14:textId="77777777" w:rsidTr="00EC3F27">
        <w:tc>
          <w:tcPr>
            <w:tcW w:w="2620" w:type="dxa"/>
            <w:tcBorders>
              <w:top w:val="nil"/>
              <w:left w:val="nil"/>
              <w:bottom w:val="nil"/>
              <w:right w:val="nil"/>
            </w:tcBorders>
          </w:tcPr>
          <w:p w14:paraId="7591C0A9" w14:textId="6F598ACA" w:rsidR="002F2745" w:rsidRPr="002F2745" w:rsidRDefault="006F64DD" w:rsidP="00E229AB">
            <w:pPr>
              <w:pStyle w:val="Nagwek1"/>
              <w:outlineLvl w:val="0"/>
            </w:pPr>
            <w:r>
              <w:t>Dane pomiarowe</w:t>
            </w:r>
          </w:p>
          <w:p w14:paraId="6BA9703A" w14:textId="70EE0063" w:rsidR="002F2745" w:rsidRPr="002F2745" w:rsidRDefault="002F2745" w:rsidP="00E229AB">
            <w:pPr>
              <w:spacing w:after="120"/>
              <w:jc w:val="left"/>
              <w:rPr>
                <w:rFonts w:cs="Times New Roman"/>
                <w:b/>
                <w:bCs/>
                <w:szCs w:val="24"/>
              </w:rPr>
            </w:pPr>
          </w:p>
        </w:tc>
        <w:tc>
          <w:tcPr>
            <w:tcW w:w="6899" w:type="dxa"/>
            <w:tcBorders>
              <w:top w:val="nil"/>
              <w:left w:val="nil"/>
              <w:bottom w:val="nil"/>
              <w:right w:val="nil"/>
            </w:tcBorders>
          </w:tcPr>
          <w:p w14:paraId="59E92CE6" w14:textId="34213043" w:rsidR="002F2745" w:rsidRPr="002F2745" w:rsidRDefault="006F64DD" w:rsidP="00807E13">
            <w:pPr>
              <w:rPr>
                <w:rFonts w:cs="Times New Roman"/>
                <w:szCs w:val="24"/>
              </w:rPr>
            </w:pPr>
            <w:r>
              <w:rPr>
                <w:rFonts w:cs="Times New Roman"/>
                <w:szCs w:val="24"/>
              </w:rPr>
              <w:t>Dane pozyskiwane lub wyznaczane dla punktu pomiarowego</w:t>
            </w:r>
            <w:r w:rsidR="002F2745" w:rsidRPr="002F2745">
              <w:rPr>
                <w:rFonts w:cs="Times New Roman"/>
                <w:szCs w:val="24"/>
              </w:rPr>
              <w:t>.</w:t>
            </w:r>
          </w:p>
        </w:tc>
      </w:tr>
      <w:tr w:rsidR="002F2745" w:rsidRPr="002F2745" w14:paraId="2402CB04" w14:textId="77777777" w:rsidTr="00EC3F27">
        <w:tc>
          <w:tcPr>
            <w:tcW w:w="2620" w:type="dxa"/>
            <w:tcBorders>
              <w:top w:val="nil"/>
              <w:left w:val="nil"/>
              <w:bottom w:val="nil"/>
              <w:right w:val="nil"/>
            </w:tcBorders>
          </w:tcPr>
          <w:p w14:paraId="20F24148" w14:textId="557EA073" w:rsidR="002F2745" w:rsidRPr="002F2745" w:rsidRDefault="006F64DD" w:rsidP="00E229AB">
            <w:pPr>
              <w:pStyle w:val="Nagwek1"/>
              <w:outlineLvl w:val="0"/>
            </w:pPr>
            <w:r>
              <w:t>Licznik konwencjonalny</w:t>
            </w:r>
          </w:p>
          <w:p w14:paraId="123E14BD" w14:textId="3B149DB0" w:rsidR="002F2745" w:rsidRPr="002F2745" w:rsidRDefault="002F2745" w:rsidP="00E229AB">
            <w:pPr>
              <w:spacing w:after="120"/>
              <w:jc w:val="left"/>
              <w:rPr>
                <w:rFonts w:cs="Times New Roman"/>
                <w:b/>
                <w:bCs/>
                <w:szCs w:val="24"/>
              </w:rPr>
            </w:pPr>
          </w:p>
        </w:tc>
        <w:tc>
          <w:tcPr>
            <w:tcW w:w="6899" w:type="dxa"/>
            <w:tcBorders>
              <w:top w:val="nil"/>
              <w:left w:val="nil"/>
              <w:bottom w:val="nil"/>
              <w:right w:val="nil"/>
            </w:tcBorders>
          </w:tcPr>
          <w:p w14:paraId="72AE4E67" w14:textId="18F730AE" w:rsidR="002F2745" w:rsidRPr="002F2745" w:rsidRDefault="006F64DD" w:rsidP="00EC3F27">
            <w:pPr>
              <w:spacing w:after="120"/>
              <w:rPr>
                <w:rFonts w:cs="Times New Roman"/>
                <w:szCs w:val="24"/>
              </w:rPr>
            </w:pPr>
            <w:r w:rsidRPr="006F64DD">
              <w:rPr>
                <w:rFonts w:cs="Times New Roman"/>
                <w:szCs w:val="24"/>
              </w:rPr>
              <w:t>Przyrząd pomiarowy w rozumieniu art. 4 pkt 5 ustawy z dnia 11 maja 2001 r. - Prawo o miarach (Dz. U. z 2021 r. poz. 2068), służący do pomiaru energii elektrycznej i rozliczeń za tę energię, niewyposażony w funkcję komunikacji z systemem zdalnego odczytu</w:t>
            </w:r>
            <w:r w:rsidR="002F2745" w:rsidRPr="002F2745">
              <w:rPr>
                <w:rFonts w:cs="Times New Roman"/>
                <w:szCs w:val="24"/>
              </w:rPr>
              <w:t>.</w:t>
            </w:r>
          </w:p>
        </w:tc>
      </w:tr>
      <w:tr w:rsidR="002F2745" w:rsidRPr="002F2745" w14:paraId="66694832" w14:textId="77777777" w:rsidTr="00EC3F27">
        <w:tc>
          <w:tcPr>
            <w:tcW w:w="2620" w:type="dxa"/>
            <w:tcBorders>
              <w:top w:val="nil"/>
              <w:left w:val="nil"/>
              <w:bottom w:val="nil"/>
              <w:right w:val="nil"/>
            </w:tcBorders>
          </w:tcPr>
          <w:p w14:paraId="77ABB79E" w14:textId="17CC82F7" w:rsidR="002F2745" w:rsidRPr="002F2745" w:rsidRDefault="006F64DD" w:rsidP="00E229AB">
            <w:pPr>
              <w:pStyle w:val="Nagwek1"/>
              <w:outlineLvl w:val="0"/>
            </w:pPr>
            <w:r w:rsidRPr="006F64DD">
              <w:t>Licznik / Licznik energii elektrycznej</w:t>
            </w:r>
          </w:p>
          <w:p w14:paraId="1A332D33" w14:textId="35B18E45" w:rsidR="002F2745" w:rsidRPr="002F2745" w:rsidRDefault="002F2745" w:rsidP="00E229AB">
            <w:pPr>
              <w:spacing w:after="120"/>
              <w:jc w:val="left"/>
              <w:rPr>
                <w:rFonts w:cs="Times New Roman"/>
                <w:b/>
                <w:bCs/>
                <w:szCs w:val="24"/>
              </w:rPr>
            </w:pPr>
          </w:p>
        </w:tc>
        <w:tc>
          <w:tcPr>
            <w:tcW w:w="6899" w:type="dxa"/>
            <w:tcBorders>
              <w:top w:val="nil"/>
              <w:left w:val="nil"/>
              <w:bottom w:val="nil"/>
              <w:right w:val="nil"/>
            </w:tcBorders>
          </w:tcPr>
          <w:p w14:paraId="3859C1B6" w14:textId="0F9432AA" w:rsidR="002F2745" w:rsidRPr="002F2745" w:rsidRDefault="006F64DD" w:rsidP="00EC3F27">
            <w:pPr>
              <w:spacing w:after="120"/>
              <w:rPr>
                <w:rFonts w:cs="Times New Roman"/>
                <w:szCs w:val="24"/>
              </w:rPr>
            </w:pPr>
            <w:r w:rsidRPr="006F64DD">
              <w:rPr>
                <w:rFonts w:cs="Times New Roman"/>
                <w:szCs w:val="24"/>
              </w:rPr>
              <w:t>Licznik zdalnego odczytu oraz licznik konwencjonalny</w:t>
            </w:r>
            <w:r w:rsidR="002F2745" w:rsidRPr="002F2745">
              <w:rPr>
                <w:rFonts w:cs="Times New Roman"/>
                <w:szCs w:val="24"/>
              </w:rPr>
              <w:t>.</w:t>
            </w:r>
          </w:p>
        </w:tc>
      </w:tr>
      <w:tr w:rsidR="006F64DD" w:rsidRPr="002F2745" w14:paraId="74C2A4DF" w14:textId="77777777" w:rsidTr="00EC3F27">
        <w:tc>
          <w:tcPr>
            <w:tcW w:w="2620" w:type="dxa"/>
            <w:tcBorders>
              <w:top w:val="nil"/>
              <w:left w:val="nil"/>
              <w:bottom w:val="nil"/>
              <w:right w:val="nil"/>
            </w:tcBorders>
          </w:tcPr>
          <w:p w14:paraId="61C5DF11" w14:textId="48B3B0EA" w:rsidR="006F64DD" w:rsidRPr="006F64DD" w:rsidRDefault="006F64DD" w:rsidP="00E229AB">
            <w:pPr>
              <w:pStyle w:val="Nagwek1"/>
              <w:outlineLvl w:val="0"/>
            </w:pPr>
            <w:r w:rsidRPr="006F64DD">
              <w:t>Magazynowanie energii elektrycznej</w:t>
            </w:r>
          </w:p>
        </w:tc>
        <w:tc>
          <w:tcPr>
            <w:tcW w:w="6899" w:type="dxa"/>
            <w:tcBorders>
              <w:top w:val="nil"/>
              <w:left w:val="nil"/>
              <w:bottom w:val="nil"/>
              <w:right w:val="nil"/>
            </w:tcBorders>
          </w:tcPr>
          <w:p w14:paraId="7F0B6F88" w14:textId="35B75A8A" w:rsidR="006F64DD" w:rsidRPr="006F64DD" w:rsidRDefault="006F64DD" w:rsidP="00EC3F27">
            <w:pPr>
              <w:spacing w:after="120"/>
              <w:rPr>
                <w:rFonts w:cs="Times New Roman"/>
                <w:szCs w:val="24"/>
              </w:rPr>
            </w:pPr>
            <w:r w:rsidRPr="006F64DD">
              <w:rPr>
                <w:rFonts w:cs="Times New Roman"/>
                <w:szCs w:val="24"/>
              </w:rPr>
              <w:t>Przetworzenie energii elektrycznej pobranej z sieci elektroenergetycznej lub wytworzonej przez jednostkę wytwórczą przyłączoną do sieci elektroenergetycznej i współpracującą z tą siecią do innej postaci energii, przechowanie tej energii, a następnie ponowne jej przetworzenie na energię elektryczną</w:t>
            </w:r>
          </w:p>
        </w:tc>
      </w:tr>
      <w:tr w:rsidR="002F2745" w:rsidRPr="002F2745" w14:paraId="73B1F256" w14:textId="77777777" w:rsidTr="00EC3F27">
        <w:tc>
          <w:tcPr>
            <w:tcW w:w="2620" w:type="dxa"/>
            <w:tcBorders>
              <w:top w:val="nil"/>
              <w:left w:val="nil"/>
              <w:bottom w:val="nil"/>
              <w:right w:val="nil"/>
            </w:tcBorders>
          </w:tcPr>
          <w:p w14:paraId="09B7CFF1" w14:textId="3A3F9A49" w:rsidR="002F2745" w:rsidRPr="002F2745" w:rsidRDefault="006F64DD" w:rsidP="00E229AB">
            <w:pPr>
              <w:pStyle w:val="Tekstpodstawowy"/>
              <w:jc w:val="left"/>
            </w:pPr>
            <w:r w:rsidRPr="006F64DD">
              <w:t>Moc zainstalowana elektryczna instalacji odnawialnego źródła energii</w:t>
            </w:r>
          </w:p>
          <w:p w14:paraId="518355D6" w14:textId="77777777" w:rsidR="002F2745" w:rsidRPr="002F2745" w:rsidRDefault="002F2745" w:rsidP="00E229AB">
            <w:pPr>
              <w:jc w:val="left"/>
              <w:rPr>
                <w:rFonts w:cs="Times New Roman"/>
                <w:b/>
                <w:bCs/>
                <w:szCs w:val="24"/>
              </w:rPr>
            </w:pPr>
          </w:p>
        </w:tc>
        <w:tc>
          <w:tcPr>
            <w:tcW w:w="6899" w:type="dxa"/>
            <w:tcBorders>
              <w:top w:val="nil"/>
              <w:left w:val="nil"/>
              <w:bottom w:val="nil"/>
              <w:right w:val="nil"/>
            </w:tcBorders>
          </w:tcPr>
          <w:p w14:paraId="643D8D9E" w14:textId="73B0FD6A" w:rsidR="002F2745" w:rsidRPr="002F2745" w:rsidRDefault="006F64DD" w:rsidP="002F2745">
            <w:pPr>
              <w:rPr>
                <w:rFonts w:cs="Times New Roman"/>
                <w:szCs w:val="24"/>
              </w:rPr>
            </w:pPr>
            <w:r w:rsidRPr="006F64DD">
              <w:rPr>
                <w:rFonts w:cs="Times New Roman"/>
                <w:szCs w:val="24"/>
              </w:rPr>
              <w:t>Łączna moc znamionowa czynna:</w:t>
            </w:r>
          </w:p>
          <w:p w14:paraId="286ED85E" w14:textId="3456C003" w:rsidR="002F2745" w:rsidRPr="002F2745" w:rsidRDefault="002F2745" w:rsidP="002F2745">
            <w:pPr>
              <w:rPr>
                <w:rFonts w:cs="Times New Roman"/>
                <w:szCs w:val="24"/>
              </w:rPr>
            </w:pPr>
            <w:r w:rsidRPr="002F2745">
              <w:rPr>
                <w:rFonts w:cs="Times New Roman"/>
                <w:szCs w:val="24"/>
              </w:rPr>
              <w:t xml:space="preserve">a) </w:t>
            </w:r>
            <w:r w:rsidR="006F64DD" w:rsidRPr="006F64DD">
              <w:rPr>
                <w:rFonts w:cs="Times New Roman"/>
                <w:szCs w:val="24"/>
              </w:rPr>
              <w:t>zespołu urządzeń służących do wytwarzania energii elektrycznej – zespołu prądotwórczego, podana przez producenta na tabliczce znamionowej, a w przypadku jej braku, moc znamionowa czynna tego zespołu określona przez jednostkę posiadającą akredytację Polskiego Centrum Akredytacji – w przypadku instalacji odnawialnego źródła energii wykorzystującej do wytwarzania energii elektrycznej biogaz lub biogaz rolniczy,</w:t>
            </w:r>
          </w:p>
          <w:p w14:paraId="365EF38B" w14:textId="4D41358B" w:rsidR="002F2745" w:rsidRPr="002F2745" w:rsidRDefault="002F2745" w:rsidP="000D1905">
            <w:pPr>
              <w:rPr>
                <w:rFonts w:cs="Times New Roman"/>
                <w:szCs w:val="24"/>
              </w:rPr>
            </w:pPr>
            <w:r w:rsidRPr="002F2745">
              <w:rPr>
                <w:rFonts w:cs="Times New Roman"/>
                <w:szCs w:val="24"/>
              </w:rPr>
              <w:t xml:space="preserve">b) </w:t>
            </w:r>
            <w:r w:rsidR="000D1905" w:rsidRPr="000D1905">
              <w:rPr>
                <w:rFonts w:cs="Times New Roman"/>
                <w:szCs w:val="24"/>
              </w:rPr>
              <w:t>generatora, modułu fotowoltaicznego lub ogniwa paliwowego podana przez producenta na tabliczce znamionowej – w przypadku instalacji innej niż wskazana w lit. a).</w:t>
            </w:r>
          </w:p>
        </w:tc>
      </w:tr>
      <w:tr w:rsidR="000D1905" w:rsidRPr="002F2745" w14:paraId="63D80D97" w14:textId="77777777" w:rsidTr="00EC3F27">
        <w:tc>
          <w:tcPr>
            <w:tcW w:w="2620" w:type="dxa"/>
            <w:tcBorders>
              <w:top w:val="nil"/>
              <w:left w:val="nil"/>
              <w:bottom w:val="nil"/>
              <w:right w:val="nil"/>
            </w:tcBorders>
          </w:tcPr>
          <w:p w14:paraId="10C995F0" w14:textId="000B4A69" w:rsidR="000D1905" w:rsidRPr="006F64DD" w:rsidRDefault="000D1905" w:rsidP="00E229AB">
            <w:pPr>
              <w:pStyle w:val="Tekstpodstawowy"/>
              <w:jc w:val="left"/>
            </w:pPr>
            <w:r>
              <w:t>Obiekt</w:t>
            </w:r>
          </w:p>
        </w:tc>
        <w:tc>
          <w:tcPr>
            <w:tcW w:w="6899" w:type="dxa"/>
            <w:tcBorders>
              <w:top w:val="nil"/>
              <w:left w:val="nil"/>
              <w:bottom w:val="nil"/>
              <w:right w:val="nil"/>
            </w:tcBorders>
          </w:tcPr>
          <w:p w14:paraId="2089DC60" w14:textId="1962522D" w:rsidR="000D1905" w:rsidRPr="006F64DD" w:rsidRDefault="000D1905" w:rsidP="002F2745">
            <w:pPr>
              <w:rPr>
                <w:rFonts w:cs="Times New Roman"/>
                <w:szCs w:val="24"/>
              </w:rPr>
            </w:pPr>
            <w:r w:rsidRPr="000D1905">
              <w:rPr>
                <w:rFonts w:cs="Times New Roman"/>
                <w:szCs w:val="24"/>
              </w:rPr>
              <w:t xml:space="preserve">Budynek lub budowla w rozumieniu ustawy z dnia 7 lipca 1994 r. – Prawo budowlane (Dz. U. z 2021 r. poz. 2351, z </w:t>
            </w:r>
            <w:proofErr w:type="spellStart"/>
            <w:r w:rsidRPr="000D1905">
              <w:rPr>
                <w:rFonts w:cs="Times New Roman"/>
                <w:szCs w:val="24"/>
              </w:rPr>
              <w:t>późn</w:t>
            </w:r>
            <w:proofErr w:type="spellEnd"/>
            <w:r w:rsidRPr="000D1905">
              <w:rPr>
                <w:rFonts w:cs="Times New Roman"/>
                <w:szCs w:val="24"/>
              </w:rPr>
              <w:t>. zm.), a także ich wyodrębnioną część albo zespół budynków lub budowli, które mieszczą się pod jednym adresem lub w jednej lokalizacji, wraz z</w:t>
            </w:r>
            <w:r>
              <w:rPr>
                <w:rFonts w:cs="Times New Roman"/>
                <w:szCs w:val="24"/>
              </w:rPr>
              <w:t> </w:t>
            </w:r>
            <w:r w:rsidRPr="000D1905">
              <w:rPr>
                <w:rFonts w:cs="Times New Roman"/>
                <w:szCs w:val="24"/>
              </w:rPr>
              <w:t>urządzeniami połączonymi ze sobą siecią lub instalacją odbiorczą przyłączoną do sieci elektroenergetycznej – w celu dostarczania energii elektrycznej na podstawie umowy sprzedaży i umowy o</w:t>
            </w:r>
            <w:r>
              <w:rPr>
                <w:rFonts w:cs="Times New Roman"/>
                <w:szCs w:val="24"/>
              </w:rPr>
              <w:t> </w:t>
            </w:r>
            <w:r w:rsidRPr="000D1905">
              <w:rPr>
                <w:rFonts w:cs="Times New Roman"/>
                <w:szCs w:val="24"/>
              </w:rPr>
              <w:t>świadczenie usług dystrybucji energii elektrycznej albo umowy kompleksowej, o których mowa odpowiednio w art. 5 ust. 1 i 3 Ustawy, zawartych z tym samym odbiorcą, przy wykorzystaniu jednego lub więcej przyłączy tworzących kompletny układ zasilania</w:t>
            </w:r>
            <w:r>
              <w:rPr>
                <w:rFonts w:cs="Times New Roman"/>
                <w:szCs w:val="24"/>
              </w:rPr>
              <w:t>.</w:t>
            </w:r>
          </w:p>
        </w:tc>
      </w:tr>
      <w:tr w:rsidR="000D1905" w:rsidRPr="002F2745" w14:paraId="17168DFA" w14:textId="77777777" w:rsidTr="00EC3F27">
        <w:tc>
          <w:tcPr>
            <w:tcW w:w="2620" w:type="dxa"/>
            <w:tcBorders>
              <w:top w:val="nil"/>
              <w:left w:val="nil"/>
              <w:bottom w:val="nil"/>
              <w:right w:val="nil"/>
            </w:tcBorders>
          </w:tcPr>
          <w:p w14:paraId="06BF3EB3" w14:textId="64B71E11" w:rsidR="000D1905" w:rsidRDefault="000D1905" w:rsidP="00E229AB">
            <w:pPr>
              <w:pStyle w:val="Tekstpodstawowy"/>
              <w:jc w:val="left"/>
            </w:pPr>
            <w:r w:rsidRPr="000D1905">
              <w:t>Odbiorca wrażliwy energii elektrycznej</w:t>
            </w:r>
          </w:p>
        </w:tc>
        <w:tc>
          <w:tcPr>
            <w:tcW w:w="6899" w:type="dxa"/>
            <w:tcBorders>
              <w:top w:val="nil"/>
              <w:left w:val="nil"/>
              <w:bottom w:val="nil"/>
              <w:right w:val="nil"/>
            </w:tcBorders>
          </w:tcPr>
          <w:p w14:paraId="71D5186A" w14:textId="36F544D2" w:rsidR="000D1905" w:rsidRPr="000D1905" w:rsidRDefault="000D1905" w:rsidP="002F2745">
            <w:pPr>
              <w:rPr>
                <w:rFonts w:cs="Times New Roman"/>
                <w:szCs w:val="24"/>
              </w:rPr>
            </w:pPr>
            <w:r w:rsidRPr="000D1905">
              <w:rPr>
                <w:rFonts w:cs="Times New Roman"/>
                <w:szCs w:val="24"/>
              </w:rPr>
              <w:t>Osoba, której przyznano dodatek mieszkaniowy w rozumieniu art. 2 ust. 1 ustawy z dnia 21 czerwca 2001 r. o dodatkach mieszkaniowych (Dz. U. z 2021 r. poz. 2021), która jest stroną umowy kompleksowej lub umowy sprzedaży energii elektrycznej zawartej z</w:t>
            </w:r>
            <w:r>
              <w:rPr>
                <w:rFonts w:cs="Times New Roman"/>
                <w:szCs w:val="24"/>
              </w:rPr>
              <w:t> </w:t>
            </w:r>
            <w:r w:rsidRPr="000D1905">
              <w:rPr>
                <w:rFonts w:cs="Times New Roman"/>
                <w:szCs w:val="24"/>
              </w:rPr>
              <w:t>przedsiębiorstwem energetycznym i zamieszkuje w miejscu dostarczania energii elektrycznej</w:t>
            </w:r>
            <w:r>
              <w:rPr>
                <w:rFonts w:cs="Times New Roman"/>
                <w:szCs w:val="24"/>
              </w:rPr>
              <w:t>.</w:t>
            </w:r>
          </w:p>
        </w:tc>
      </w:tr>
      <w:tr w:rsidR="000D1905" w:rsidRPr="002F2745" w14:paraId="0B19A3C0" w14:textId="77777777" w:rsidTr="00EC3F27">
        <w:tc>
          <w:tcPr>
            <w:tcW w:w="2620" w:type="dxa"/>
            <w:tcBorders>
              <w:top w:val="nil"/>
              <w:left w:val="nil"/>
              <w:bottom w:val="nil"/>
              <w:right w:val="nil"/>
            </w:tcBorders>
          </w:tcPr>
          <w:p w14:paraId="4A9B0DB0" w14:textId="20D0CE33" w:rsidR="000D1905" w:rsidRPr="000D1905" w:rsidRDefault="000D1905" w:rsidP="00E229AB">
            <w:pPr>
              <w:pStyle w:val="Tekstpodstawowy"/>
              <w:jc w:val="left"/>
            </w:pPr>
            <w:r w:rsidRPr="000D1905">
              <w:t>Prosument zbiorowy energii odnawialnej</w:t>
            </w:r>
          </w:p>
        </w:tc>
        <w:tc>
          <w:tcPr>
            <w:tcW w:w="6899" w:type="dxa"/>
            <w:tcBorders>
              <w:top w:val="nil"/>
              <w:left w:val="nil"/>
              <w:bottom w:val="nil"/>
              <w:right w:val="nil"/>
            </w:tcBorders>
          </w:tcPr>
          <w:p w14:paraId="3968F8B2" w14:textId="3D5D7CF4" w:rsidR="000D1905" w:rsidRPr="000D1905" w:rsidRDefault="000D1905" w:rsidP="002F2745">
            <w:pPr>
              <w:rPr>
                <w:rFonts w:cs="Times New Roman"/>
                <w:szCs w:val="24"/>
              </w:rPr>
            </w:pPr>
            <w:r w:rsidRPr="000D1905">
              <w:rPr>
                <w:rFonts w:cs="Times New Roman"/>
                <w:szCs w:val="24"/>
              </w:rPr>
              <w:t>Odbiorca końcowy wytwarzający energię elektryczną wyłącznie z</w:t>
            </w:r>
            <w:r>
              <w:rPr>
                <w:rFonts w:cs="Times New Roman"/>
                <w:szCs w:val="24"/>
              </w:rPr>
              <w:t> </w:t>
            </w:r>
            <w:r w:rsidRPr="000D1905">
              <w:rPr>
                <w:rFonts w:cs="Times New Roman"/>
                <w:szCs w:val="24"/>
              </w:rPr>
              <w:t xml:space="preserve">odnawialnych źródeł energii na własne potrzeby w </w:t>
            </w:r>
            <w:proofErr w:type="spellStart"/>
            <w:r w:rsidRPr="000D1905">
              <w:rPr>
                <w:rFonts w:cs="Times New Roman"/>
                <w:szCs w:val="24"/>
              </w:rPr>
              <w:t>mikroinstalacji</w:t>
            </w:r>
            <w:proofErr w:type="spellEnd"/>
            <w:r w:rsidRPr="000D1905">
              <w:rPr>
                <w:rFonts w:cs="Times New Roman"/>
                <w:szCs w:val="24"/>
              </w:rPr>
              <w:t xml:space="preserve"> lub małej instalacji przyłączonej do sieci dystrybucyjnej elektroenergetycznej za pośrednictwem wewnętrznej instalacji elektrycznej budynku wielolokalowego, w której znajduje się punkt poboru energii elektrycznej tego odbiorcy, pod warunkiem że w</w:t>
            </w:r>
            <w:r>
              <w:rPr>
                <w:rFonts w:cs="Times New Roman"/>
                <w:szCs w:val="24"/>
              </w:rPr>
              <w:t> </w:t>
            </w:r>
            <w:r w:rsidRPr="000D1905">
              <w:rPr>
                <w:rFonts w:cs="Times New Roman"/>
                <w:szCs w:val="24"/>
              </w:rPr>
              <w:t>przypadku odbiorcy końcowego niebędącego odbiorcą energii elektrycznej w gospodarstwie domowym wytwarzanie to nie stanowi przedmiotu przeważającej działalności gospodarczej określonej zgodnie z przepisami wydanymi na podstawie art. 40 ust. 2 ustawy z</w:t>
            </w:r>
            <w:r>
              <w:rPr>
                <w:rFonts w:cs="Times New Roman"/>
                <w:szCs w:val="24"/>
              </w:rPr>
              <w:t> </w:t>
            </w:r>
            <w:r w:rsidRPr="000D1905">
              <w:rPr>
                <w:rFonts w:cs="Times New Roman"/>
                <w:szCs w:val="24"/>
              </w:rPr>
              <w:t>dnia 29 czerwca 1995 r. o statystyce publicznej</w:t>
            </w:r>
          </w:p>
        </w:tc>
      </w:tr>
      <w:tr w:rsidR="000D1905" w:rsidRPr="002F2745" w14:paraId="3FF2500A" w14:textId="77777777" w:rsidTr="00EC3F27">
        <w:tc>
          <w:tcPr>
            <w:tcW w:w="2620" w:type="dxa"/>
            <w:tcBorders>
              <w:top w:val="nil"/>
              <w:left w:val="nil"/>
              <w:bottom w:val="nil"/>
              <w:right w:val="nil"/>
            </w:tcBorders>
          </w:tcPr>
          <w:p w14:paraId="1BB20570" w14:textId="726BCD42" w:rsidR="000D1905" w:rsidRPr="000D1905" w:rsidRDefault="000D1905" w:rsidP="00E229AB">
            <w:pPr>
              <w:pStyle w:val="Tekstpodstawowy"/>
              <w:jc w:val="left"/>
            </w:pPr>
            <w:r w:rsidRPr="000D1905">
              <w:t>Punkt pomiarowy</w:t>
            </w:r>
          </w:p>
        </w:tc>
        <w:tc>
          <w:tcPr>
            <w:tcW w:w="6899" w:type="dxa"/>
            <w:tcBorders>
              <w:top w:val="nil"/>
              <w:left w:val="nil"/>
              <w:bottom w:val="nil"/>
              <w:right w:val="nil"/>
            </w:tcBorders>
          </w:tcPr>
          <w:p w14:paraId="1787631F" w14:textId="6ECF987B" w:rsidR="000D1905" w:rsidRPr="000D1905" w:rsidRDefault="000D1905" w:rsidP="002F2745">
            <w:pPr>
              <w:rPr>
                <w:rFonts w:cs="Times New Roman"/>
                <w:szCs w:val="24"/>
              </w:rPr>
            </w:pPr>
            <w:r w:rsidRPr="000D1905">
              <w:rPr>
                <w:rFonts w:cs="Times New Roman"/>
                <w:szCs w:val="24"/>
              </w:rPr>
              <w:t>Miejsce w urządzeniu, instalacji lub sieci, w którym dokonuje się pomiaru lub wyznaczenia wielkości fizycznych dotyczących energii elektrycznej.</w:t>
            </w:r>
          </w:p>
        </w:tc>
      </w:tr>
      <w:tr w:rsidR="000D1905" w:rsidRPr="002F2745" w14:paraId="0CFF6F02" w14:textId="77777777" w:rsidTr="00EC3F27">
        <w:tc>
          <w:tcPr>
            <w:tcW w:w="2620" w:type="dxa"/>
            <w:tcBorders>
              <w:top w:val="nil"/>
              <w:left w:val="nil"/>
              <w:bottom w:val="nil"/>
              <w:right w:val="nil"/>
            </w:tcBorders>
          </w:tcPr>
          <w:p w14:paraId="23B10087" w14:textId="29AD913B" w:rsidR="000D1905" w:rsidRPr="000D1905" w:rsidRDefault="00E91065" w:rsidP="00E229AB">
            <w:pPr>
              <w:pStyle w:val="Tekstpodstawowy"/>
              <w:jc w:val="left"/>
            </w:pPr>
            <w:proofErr w:type="spellStart"/>
            <w:r w:rsidRPr="00E91065">
              <w:t>Statyzm</w:t>
            </w:r>
            <w:proofErr w:type="spellEnd"/>
          </w:p>
        </w:tc>
        <w:tc>
          <w:tcPr>
            <w:tcW w:w="6899" w:type="dxa"/>
            <w:tcBorders>
              <w:top w:val="nil"/>
              <w:left w:val="nil"/>
              <w:bottom w:val="nil"/>
              <w:right w:val="nil"/>
            </w:tcBorders>
          </w:tcPr>
          <w:p w14:paraId="586DF290" w14:textId="139E41EA" w:rsidR="000D1905" w:rsidRPr="000D1905" w:rsidRDefault="00E91065" w:rsidP="002F2745">
            <w:pPr>
              <w:rPr>
                <w:rFonts w:cs="Times New Roman"/>
                <w:szCs w:val="24"/>
              </w:rPr>
            </w:pPr>
            <w:r w:rsidRPr="00E91065">
              <w:rPr>
                <w:rFonts w:cs="Times New Roman"/>
                <w:szCs w:val="24"/>
              </w:rPr>
              <w:t>Oznacza wyrażany w procentach współczynnik quasi-stacjonarnego odchylenia częstotliwości do wynikającej z tego odchylenia zmiany generowanej mocy czynnej w stanie ustalonym. Zmianę częstotliwości wyraża się jako stosunek do częstotliwości znamionowej, a zmianę mocy czynnej jako stosunek do mocy maksymalnej lub rzeczywistej mocy czynnej w momencie wystąpienia tego odchylenia</w:t>
            </w:r>
            <w:r>
              <w:rPr>
                <w:rFonts w:cs="Times New Roman"/>
                <w:szCs w:val="24"/>
              </w:rPr>
              <w:t>.</w:t>
            </w:r>
          </w:p>
        </w:tc>
      </w:tr>
      <w:tr w:rsidR="00E91065" w:rsidRPr="002F2745" w14:paraId="5FEF7D23" w14:textId="77777777" w:rsidTr="00EC3F27">
        <w:tc>
          <w:tcPr>
            <w:tcW w:w="2620" w:type="dxa"/>
            <w:tcBorders>
              <w:top w:val="nil"/>
              <w:left w:val="nil"/>
              <w:bottom w:val="nil"/>
              <w:right w:val="nil"/>
            </w:tcBorders>
          </w:tcPr>
          <w:p w14:paraId="1013F5C4" w14:textId="2C2549E0" w:rsidR="00E91065" w:rsidRPr="00E91065" w:rsidRDefault="00E91065" w:rsidP="00E229AB">
            <w:pPr>
              <w:pStyle w:val="Tekstpodstawowy"/>
              <w:jc w:val="left"/>
            </w:pPr>
            <w:r w:rsidRPr="00E91065">
              <w:t>System informacyjny</w:t>
            </w:r>
          </w:p>
        </w:tc>
        <w:tc>
          <w:tcPr>
            <w:tcW w:w="6899" w:type="dxa"/>
            <w:tcBorders>
              <w:top w:val="nil"/>
              <w:left w:val="nil"/>
              <w:bottom w:val="nil"/>
              <w:right w:val="nil"/>
            </w:tcBorders>
          </w:tcPr>
          <w:p w14:paraId="68C81C38" w14:textId="33E616D0" w:rsidR="00E91065" w:rsidRPr="00E91065" w:rsidRDefault="00E91065" w:rsidP="002F2745">
            <w:pPr>
              <w:rPr>
                <w:rFonts w:cs="Times New Roman"/>
                <w:szCs w:val="24"/>
              </w:rPr>
            </w:pPr>
            <w:r w:rsidRPr="00E91065">
              <w:rPr>
                <w:rFonts w:cs="Times New Roman"/>
                <w:szCs w:val="24"/>
              </w:rPr>
              <w:t xml:space="preserve">System informacyjny w rozumieniu art. 2 pkt 14 ustawy z dnia 5 lipca 2018 r. o krajowym systemie </w:t>
            </w:r>
            <w:proofErr w:type="spellStart"/>
            <w:r w:rsidRPr="00E91065">
              <w:rPr>
                <w:rFonts w:cs="Times New Roman"/>
                <w:szCs w:val="24"/>
              </w:rPr>
              <w:t>cyberbezpieczeństwa</w:t>
            </w:r>
            <w:proofErr w:type="spellEnd"/>
            <w:r w:rsidRPr="00E91065">
              <w:rPr>
                <w:rFonts w:cs="Times New Roman"/>
                <w:szCs w:val="24"/>
              </w:rPr>
              <w:t xml:space="preserve"> (Dz.U. z 2020 r. poz. 1369 z </w:t>
            </w:r>
            <w:proofErr w:type="spellStart"/>
            <w:r w:rsidRPr="00E91065">
              <w:rPr>
                <w:rFonts w:cs="Times New Roman"/>
                <w:szCs w:val="24"/>
              </w:rPr>
              <w:t>późn</w:t>
            </w:r>
            <w:proofErr w:type="spellEnd"/>
            <w:r w:rsidRPr="00E91065">
              <w:rPr>
                <w:rFonts w:cs="Times New Roman"/>
                <w:szCs w:val="24"/>
              </w:rPr>
              <w:t>. zm.).</w:t>
            </w:r>
          </w:p>
        </w:tc>
      </w:tr>
      <w:tr w:rsidR="00E91065" w:rsidRPr="002F2745" w14:paraId="71F50BA9" w14:textId="77777777" w:rsidTr="00EC3F27">
        <w:tc>
          <w:tcPr>
            <w:tcW w:w="2620" w:type="dxa"/>
            <w:tcBorders>
              <w:top w:val="nil"/>
              <w:left w:val="nil"/>
              <w:bottom w:val="nil"/>
              <w:right w:val="nil"/>
            </w:tcBorders>
          </w:tcPr>
          <w:p w14:paraId="371835DC" w14:textId="5760CD1A" w:rsidR="00E91065" w:rsidRPr="00E91065" w:rsidRDefault="00E91065" w:rsidP="00E229AB">
            <w:pPr>
              <w:pStyle w:val="Tekstpodstawowy"/>
              <w:jc w:val="left"/>
            </w:pPr>
            <w:r w:rsidRPr="00E91065">
              <w:t>System zdalnego odczytu</w:t>
            </w:r>
          </w:p>
        </w:tc>
        <w:tc>
          <w:tcPr>
            <w:tcW w:w="6899" w:type="dxa"/>
            <w:tcBorders>
              <w:top w:val="nil"/>
              <w:left w:val="nil"/>
              <w:bottom w:val="nil"/>
              <w:right w:val="nil"/>
            </w:tcBorders>
          </w:tcPr>
          <w:p w14:paraId="36D7055A" w14:textId="0D1672FB" w:rsidR="00E91065" w:rsidRPr="00E91065" w:rsidRDefault="00E91065" w:rsidP="002F2745">
            <w:pPr>
              <w:rPr>
                <w:rFonts w:cs="Times New Roman"/>
                <w:szCs w:val="24"/>
              </w:rPr>
            </w:pPr>
            <w:r w:rsidRPr="00E91065">
              <w:rPr>
                <w:rFonts w:cs="Times New Roman"/>
                <w:szCs w:val="24"/>
              </w:rPr>
              <w:t>System informacyjny służący do pozyskiwania danych pomiarowych z liczników zdalnego odczytu i informacji o zdarzeniach rejestrowanych przez te liczniki oraz służący do wysyłania poleceń do liczników zdalnego odczytu.</w:t>
            </w:r>
          </w:p>
        </w:tc>
      </w:tr>
      <w:tr w:rsidR="00E91065" w:rsidRPr="002F2745" w14:paraId="767FBE9F" w14:textId="77777777" w:rsidTr="00EC3F27">
        <w:tc>
          <w:tcPr>
            <w:tcW w:w="2620" w:type="dxa"/>
            <w:tcBorders>
              <w:top w:val="nil"/>
              <w:left w:val="nil"/>
              <w:bottom w:val="nil"/>
              <w:right w:val="nil"/>
            </w:tcBorders>
          </w:tcPr>
          <w:p w14:paraId="111C893F" w14:textId="2DD691DF" w:rsidR="00E91065" w:rsidRPr="00E91065" w:rsidRDefault="00E91065" w:rsidP="00E229AB">
            <w:pPr>
              <w:pStyle w:val="Tekstpodstawowy"/>
              <w:jc w:val="left"/>
            </w:pPr>
            <w:r w:rsidRPr="00E91065">
              <w:t>Tryb LFSM-O</w:t>
            </w:r>
          </w:p>
        </w:tc>
        <w:tc>
          <w:tcPr>
            <w:tcW w:w="6899" w:type="dxa"/>
            <w:tcBorders>
              <w:top w:val="nil"/>
              <w:left w:val="nil"/>
              <w:bottom w:val="nil"/>
              <w:right w:val="nil"/>
            </w:tcBorders>
          </w:tcPr>
          <w:p w14:paraId="0ECA0072" w14:textId="4B6534BE" w:rsidR="00E91065" w:rsidRPr="00E91065" w:rsidRDefault="00E91065" w:rsidP="002F2745">
            <w:pPr>
              <w:rPr>
                <w:rFonts w:cs="Times New Roman"/>
                <w:szCs w:val="24"/>
              </w:rPr>
            </w:pPr>
            <w:r w:rsidRPr="00E91065">
              <w:rPr>
                <w:rFonts w:cs="Times New Roman"/>
                <w:szCs w:val="24"/>
              </w:rPr>
              <w:t>Oznacza tryb pracy modułu wytwarzania energii lub systemu HVDC, w którym generowana moc czynna zmniejsza się w odpowiedzi na wzrost częstotliwości systemu powyżej określonej wartości</w:t>
            </w:r>
            <w:r>
              <w:rPr>
                <w:rFonts w:cs="Times New Roman"/>
                <w:szCs w:val="24"/>
              </w:rPr>
              <w:t>.</w:t>
            </w:r>
          </w:p>
        </w:tc>
      </w:tr>
      <w:tr w:rsidR="00E91065" w:rsidRPr="002F2745" w14:paraId="7129E378" w14:textId="77777777" w:rsidTr="00EC3F27">
        <w:tc>
          <w:tcPr>
            <w:tcW w:w="2620" w:type="dxa"/>
            <w:tcBorders>
              <w:top w:val="nil"/>
              <w:left w:val="nil"/>
              <w:bottom w:val="nil"/>
              <w:right w:val="nil"/>
            </w:tcBorders>
          </w:tcPr>
          <w:p w14:paraId="44C37B70" w14:textId="07811A52" w:rsidR="00E91065" w:rsidRPr="00E91065" w:rsidRDefault="00E91065" w:rsidP="00E229AB">
            <w:pPr>
              <w:pStyle w:val="Tekstpodstawowy"/>
              <w:jc w:val="left"/>
            </w:pPr>
            <w:r w:rsidRPr="00E91065">
              <w:t>Tryb LFSM-U</w:t>
            </w:r>
          </w:p>
        </w:tc>
        <w:tc>
          <w:tcPr>
            <w:tcW w:w="6899" w:type="dxa"/>
            <w:tcBorders>
              <w:top w:val="nil"/>
              <w:left w:val="nil"/>
              <w:bottom w:val="nil"/>
              <w:right w:val="nil"/>
            </w:tcBorders>
          </w:tcPr>
          <w:p w14:paraId="1A635E6B" w14:textId="390EC0F6" w:rsidR="00E91065" w:rsidRPr="00E91065" w:rsidRDefault="00E91065" w:rsidP="002F2745">
            <w:pPr>
              <w:rPr>
                <w:rFonts w:cs="Times New Roman"/>
                <w:szCs w:val="24"/>
              </w:rPr>
            </w:pPr>
            <w:r w:rsidRPr="00E91065">
              <w:rPr>
                <w:rFonts w:cs="Times New Roman"/>
                <w:szCs w:val="24"/>
              </w:rPr>
              <w:t>Oznacza tryb pracy modułu wytwarzania energii lub systemu HVDC, w którym generowana moc czynna</w:t>
            </w:r>
            <w:r>
              <w:rPr>
                <w:rFonts w:cs="Times New Roman"/>
                <w:szCs w:val="24"/>
              </w:rPr>
              <w:t xml:space="preserve"> </w:t>
            </w:r>
            <w:r w:rsidRPr="00E91065">
              <w:rPr>
                <w:rFonts w:cs="Times New Roman"/>
                <w:szCs w:val="24"/>
              </w:rPr>
              <w:t>zwiększa się w następstwie spadku częstotliwości systemu poniżej określonej wartości</w:t>
            </w:r>
            <w:r>
              <w:rPr>
                <w:rFonts w:cs="Times New Roman"/>
                <w:szCs w:val="24"/>
              </w:rPr>
              <w:t>.</w:t>
            </w:r>
          </w:p>
        </w:tc>
      </w:tr>
      <w:tr w:rsidR="00E91065" w:rsidRPr="002F2745" w14:paraId="68741B9C" w14:textId="77777777" w:rsidTr="00EC3F27">
        <w:tc>
          <w:tcPr>
            <w:tcW w:w="2620" w:type="dxa"/>
            <w:tcBorders>
              <w:top w:val="nil"/>
              <w:left w:val="nil"/>
              <w:bottom w:val="nil"/>
              <w:right w:val="nil"/>
            </w:tcBorders>
          </w:tcPr>
          <w:p w14:paraId="055DA027" w14:textId="49EC1D3C" w:rsidR="00E91065" w:rsidRPr="00E91065" w:rsidRDefault="00E91065" w:rsidP="00E229AB">
            <w:pPr>
              <w:pStyle w:val="Tekstpodstawowy"/>
              <w:jc w:val="left"/>
            </w:pPr>
            <w:r w:rsidRPr="00E91065">
              <w:t>Zagregowane dane pomiarowe</w:t>
            </w:r>
          </w:p>
        </w:tc>
        <w:tc>
          <w:tcPr>
            <w:tcW w:w="6899" w:type="dxa"/>
            <w:tcBorders>
              <w:top w:val="nil"/>
              <w:left w:val="nil"/>
              <w:bottom w:val="nil"/>
              <w:right w:val="nil"/>
            </w:tcBorders>
          </w:tcPr>
          <w:p w14:paraId="73D5B455" w14:textId="4FD89573" w:rsidR="00E91065" w:rsidRPr="00E91065" w:rsidRDefault="00E91065" w:rsidP="002F2745">
            <w:pPr>
              <w:rPr>
                <w:rFonts w:cs="Times New Roman"/>
                <w:szCs w:val="24"/>
              </w:rPr>
            </w:pPr>
            <w:r w:rsidRPr="00E91065">
              <w:rPr>
                <w:rFonts w:cs="Times New Roman"/>
                <w:szCs w:val="24"/>
              </w:rPr>
              <w:t>Dane pomiarowe dla zbioru punktów pomiarowych, dla których nie jest możliwe przypisanie ich do danego użytkownika systemu elektroenergetycznego.</w:t>
            </w:r>
          </w:p>
        </w:tc>
      </w:tr>
    </w:tbl>
    <w:p w14:paraId="6AA0524C" w14:textId="1712ADA4" w:rsidR="00CC2CFB" w:rsidRPr="00852BA0" w:rsidRDefault="00CC2CFB" w:rsidP="0036726F">
      <w:pPr>
        <w:pStyle w:val="pierwszy"/>
        <w:numPr>
          <w:ilvl w:val="0"/>
          <w:numId w:val="0"/>
        </w:numPr>
        <w:rPr>
          <w:strike/>
        </w:rPr>
      </w:pPr>
    </w:p>
    <w:sectPr w:rsidR="00CC2CFB" w:rsidRPr="00852BA0" w:rsidSect="00930A78">
      <w:headerReference w:type="default" r:id="rId8"/>
      <w:pgSz w:w="11906" w:h="17338"/>
      <w:pgMar w:top="1135" w:right="832" w:bottom="650" w:left="1188" w:header="708" w:footer="708"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27F6E" w14:textId="77777777" w:rsidR="004A22D1" w:rsidRDefault="004A22D1" w:rsidP="004214D3">
      <w:pPr>
        <w:spacing w:before="0" w:after="0" w:line="240" w:lineRule="auto"/>
      </w:pPr>
      <w:r>
        <w:separator/>
      </w:r>
    </w:p>
  </w:endnote>
  <w:endnote w:type="continuationSeparator" w:id="0">
    <w:p w14:paraId="1E58DCC6" w14:textId="77777777" w:rsidR="004A22D1" w:rsidRDefault="004A22D1" w:rsidP="004214D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FFAF17" w14:textId="77777777" w:rsidR="004A22D1" w:rsidRDefault="004A22D1" w:rsidP="004214D3">
      <w:pPr>
        <w:spacing w:before="0" w:after="0" w:line="240" w:lineRule="auto"/>
      </w:pPr>
      <w:r>
        <w:separator/>
      </w:r>
    </w:p>
  </w:footnote>
  <w:footnote w:type="continuationSeparator" w:id="0">
    <w:p w14:paraId="6A57E62E" w14:textId="77777777" w:rsidR="004A22D1" w:rsidRDefault="004A22D1" w:rsidP="004214D3">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CB742" w14:textId="72678C2E" w:rsidR="00627ADD" w:rsidRPr="00930A78" w:rsidRDefault="00627ADD" w:rsidP="007F6FAE">
    <w:pPr>
      <w:tabs>
        <w:tab w:val="center" w:pos="4112"/>
        <w:tab w:val="right" w:pos="9356"/>
      </w:tabs>
      <w:spacing w:before="0" w:after="155"/>
      <w:jc w:val="center"/>
      <w:rPr>
        <w:rFonts w:eastAsia="Calibri" w:cs="Times New Roman"/>
        <w:i/>
        <w:iCs/>
        <w:noProof/>
        <w:color w:val="000000"/>
        <w:sz w:val="22"/>
        <w:lang w:eastAsia="pl-PL"/>
      </w:rPr>
    </w:pPr>
    <w:r w:rsidRPr="00930A78">
      <w:rPr>
        <w:rFonts w:ascii="Calibri" w:eastAsia="Calibri" w:hAnsi="Calibri" w:cs="Calibri"/>
        <w:i/>
        <w:iCs/>
        <w:noProof/>
        <w:color w:val="000000"/>
        <w:sz w:val="22"/>
        <w:lang w:eastAsia="pl-PL"/>
      </w:rPr>
      <mc:AlternateContent>
        <mc:Choice Requires="wpg">
          <w:drawing>
            <wp:anchor distT="0" distB="0" distL="114300" distR="114300" simplePos="0" relativeHeight="251659264" behindDoc="0" locked="0" layoutInCell="1" allowOverlap="1" wp14:anchorId="09CF45DB" wp14:editId="6FB7A518">
              <wp:simplePos x="0" y="0"/>
              <wp:positionH relativeFrom="page">
                <wp:posOffset>882650</wp:posOffset>
              </wp:positionH>
              <wp:positionV relativeFrom="page">
                <wp:posOffset>754380</wp:posOffset>
              </wp:positionV>
              <wp:extent cx="5888355" cy="8890"/>
              <wp:effectExtent l="0" t="1905" r="1270" b="0"/>
              <wp:wrapSquare wrapText="bothSides"/>
              <wp:docPr id="9"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8890"/>
                        <a:chOff x="0" y="0"/>
                        <a:chExt cx="58881" cy="91"/>
                      </a:xfrm>
                    </wpg:grpSpPr>
                    <wps:wsp>
                      <wps:cNvPr id="10" name="Shape 1051352"/>
                      <wps:cNvSpPr>
                        <a:spLocks noChangeArrowheads="1"/>
                      </wps:cNvSpPr>
                      <wps:spPr bwMode="auto">
                        <a:xfrm>
                          <a:off x="0" y="0"/>
                          <a:ext cx="58881" cy="91"/>
                        </a:xfrm>
                        <a:custGeom>
                          <a:avLst/>
                          <a:gdLst>
                            <a:gd name="T0" fmla="*/ 0 w 5888102"/>
                            <a:gd name="T1" fmla="*/ 0 h 9144"/>
                            <a:gd name="T2" fmla="*/ 5888102 w 5888102"/>
                            <a:gd name="T3" fmla="*/ 0 h 9144"/>
                            <a:gd name="T4" fmla="*/ 5888102 w 5888102"/>
                            <a:gd name="T5" fmla="*/ 9144 h 9144"/>
                            <a:gd name="T6" fmla="*/ 0 w 5888102"/>
                            <a:gd name="T7" fmla="*/ 9144 h 9144"/>
                            <a:gd name="T8" fmla="*/ 0 w 5888102"/>
                            <a:gd name="T9" fmla="*/ 0 h 9144"/>
                          </a:gdLst>
                          <a:ahLst/>
                          <a:cxnLst>
                            <a:cxn ang="0">
                              <a:pos x="T0" y="T1"/>
                            </a:cxn>
                            <a:cxn ang="0">
                              <a:pos x="T2" y="T3"/>
                            </a:cxn>
                            <a:cxn ang="0">
                              <a:pos x="T4" y="T5"/>
                            </a:cxn>
                            <a:cxn ang="0">
                              <a:pos x="T6" y="T7"/>
                            </a:cxn>
                            <a:cxn ang="0">
                              <a:pos x="T8" y="T9"/>
                            </a:cxn>
                          </a:cxnLst>
                          <a:rect l="0" t="0" r="r" b="b"/>
                          <a:pathLst>
                            <a:path w="5888102" h="9144">
                              <a:moveTo>
                                <a:pt x="0" y="0"/>
                              </a:moveTo>
                              <a:lnTo>
                                <a:pt x="5888102" y="0"/>
                              </a:lnTo>
                              <a:lnTo>
                                <a:pt x="5888102" y="9144"/>
                              </a:lnTo>
                              <a:lnTo>
                                <a:pt x="0" y="9144"/>
                              </a:lnTo>
                              <a:lnTo>
                                <a:pt x="0" y="0"/>
                              </a:lnTo>
                            </a:path>
                          </a:pathLst>
                        </a:custGeom>
                        <a:solidFill>
                          <a:srgbClr val="000000"/>
                        </a:solidFill>
                        <a:ln>
                          <a:noFill/>
                        </a:ln>
                        <a:extLst>
                          <a:ext uri="{91240B29-F687-4F45-9708-019B960494DF}">
                            <a14:hiddenLine xmlns:a14="http://schemas.microsoft.com/office/drawing/2010/main" w="0">
                              <a:solidFill>
                                <a:srgbClr val="000000">
                                  <a:alpha val="0"/>
                                </a:srgbClr>
                              </a:solidFill>
                              <a:miter lim="10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1D1DF6" id="Group 17" o:spid="_x0000_s1026" style="position:absolute;margin-left:69.5pt;margin-top:59.4pt;width:463.65pt;height:.7pt;z-index:251659264;mso-position-horizontal-relative:page;mso-position-vertical-relative:page" coordsize="5888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">
              <v:shape id="Shape 1051352" o:spid="_x0000_s1027" style="position:absolute;width:58881;height:91;visibility:visible;mso-wrap-style:square;v-text-anchor:top" coordsize="588810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" path="m,l5888102,r,9144l,9144,,e" fillcolor="black" stroked="f" strokeweight="0">
                <v:stroke opacity="0" miterlimit="10" joinstyle="miter"/>
                <v:path o:connecttype="custom" o:connectlocs="0,0;58881,0;58881,91;0,91;0,0" o:connectangles="0,0,0,0,0"/>
              </v:shape>
              <w10:wrap type="square" anchorx="page" anchory="page"/>
            </v:group>
          </w:pict>
        </mc:Fallback>
      </mc:AlternateContent>
    </w:r>
    <w:r w:rsidRPr="00930A78">
      <w:rPr>
        <w:rFonts w:eastAsia="Times New Roman" w:cs="Times New Roman"/>
        <w:i/>
        <w:color w:val="000000"/>
        <w:sz w:val="22"/>
        <w:lang w:eastAsia="pl-PL"/>
      </w:rPr>
      <w:t xml:space="preserve">Karta aktualizacji nr </w:t>
    </w:r>
    <w:r w:rsidR="003B21DE">
      <w:rPr>
        <w:rFonts w:eastAsia="Times New Roman" w:cs="Times New Roman"/>
        <w:i/>
        <w:color w:val="000000"/>
        <w:sz w:val="22"/>
        <w:lang w:eastAsia="pl-PL"/>
      </w:rPr>
      <w:t>1</w:t>
    </w:r>
    <w:r w:rsidRPr="00930A78">
      <w:rPr>
        <w:rFonts w:eastAsia="Times New Roman" w:cs="Times New Roman"/>
        <w:i/>
        <w:color w:val="000000"/>
        <w:sz w:val="22"/>
        <w:lang w:eastAsia="pl-PL"/>
      </w:rPr>
      <w:t>/202</w:t>
    </w:r>
    <w:r w:rsidR="003B21DE">
      <w:rPr>
        <w:rFonts w:eastAsia="Times New Roman" w:cs="Times New Roman"/>
        <w:i/>
        <w:color w:val="000000"/>
        <w:sz w:val="22"/>
        <w:lang w:eastAsia="pl-PL"/>
      </w:rPr>
      <w:t>3</w:t>
    </w:r>
    <w:r w:rsidRPr="00930A78">
      <w:rPr>
        <w:rFonts w:eastAsia="Times New Roman" w:cs="Times New Roman"/>
        <w:i/>
        <w:color w:val="000000"/>
        <w:sz w:val="22"/>
        <w:lang w:eastAsia="pl-PL"/>
      </w:rPr>
      <w:t xml:space="preserve"> </w:t>
    </w:r>
    <w:proofErr w:type="spellStart"/>
    <w:r w:rsidRPr="00930A78">
      <w:rPr>
        <w:rFonts w:eastAsia="Times New Roman" w:cs="Times New Roman"/>
        <w:i/>
        <w:color w:val="000000"/>
        <w:sz w:val="22"/>
        <w:lang w:eastAsia="pl-PL"/>
      </w:rPr>
      <w:t>IRiESD</w:t>
    </w:r>
    <w:proofErr w:type="spellEnd"/>
  </w:p>
  <w:p w14:paraId="179C538A" w14:textId="77777777" w:rsidR="00627ADD" w:rsidRDefault="00627AD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D22D5A5"/>
    <w:multiLevelType w:val="hybridMultilevel"/>
    <w:tmpl w:val="848F4CC0"/>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8A14C6"/>
    <w:multiLevelType w:val="hybridMultilevel"/>
    <w:tmpl w:val="E72C2FDC"/>
    <w:lvl w:ilvl="0" w:tplc="5E4ACB0C">
      <w:start w:val="1"/>
      <w:numFmt w:val="decimal"/>
      <w:pStyle w:val="trzeci"/>
      <w:lvlText w:val="%1)"/>
      <w:lvlJc w:val="left"/>
      <w:pPr>
        <w:ind w:left="1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496F0D"/>
    <w:multiLevelType w:val="hybridMultilevel"/>
    <w:tmpl w:val="4380DC04"/>
    <w:lvl w:ilvl="0" w:tplc="28E4059A">
      <w:start w:val="1"/>
      <w:numFmt w:val="lowerLetter"/>
      <w:pStyle w:val="pity"/>
      <w:lvlText w:val="%1)"/>
      <w:lvlJc w:val="lef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3" w15:restartNumberingAfterBreak="0">
    <w:nsid w:val="081A0019"/>
    <w:multiLevelType w:val="hybridMultilevel"/>
    <w:tmpl w:val="4CBAF372"/>
    <w:lvl w:ilvl="0" w:tplc="1E4494E0">
      <w:start w:val="2"/>
      <w:numFmt w:val="decimal"/>
      <w:pStyle w:val="E1"/>
      <w:lvlText w:val="E.%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3C94C2C"/>
    <w:multiLevelType w:val="hybridMultilevel"/>
    <w:tmpl w:val="38A2FE76"/>
    <w:lvl w:ilvl="0" w:tplc="B0F65A94">
      <w:start w:val="1"/>
      <w:numFmt w:val="lowerRoman"/>
      <w:pStyle w:val="i"/>
      <w:lvlText w:val="%1."/>
      <w:lvlJc w:val="righ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5" w15:restartNumberingAfterBreak="0">
    <w:nsid w:val="158662E3"/>
    <w:multiLevelType w:val="hybridMultilevel"/>
    <w:tmpl w:val="05BC4132"/>
    <w:lvl w:ilvl="0" w:tplc="A08A61F6">
      <w:start w:val="1"/>
      <w:numFmt w:val="decimal"/>
      <w:pStyle w:val="A11"/>
      <w:lvlText w:val="A.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8830BFC"/>
    <w:multiLevelType w:val="hybridMultilevel"/>
    <w:tmpl w:val="2C088BCE"/>
    <w:lvl w:ilvl="0" w:tplc="C756E3FA">
      <w:start w:val="1"/>
      <w:numFmt w:val="lowerLetter"/>
      <w:pStyle w:val="trzeci0"/>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15:restartNumberingAfterBreak="0">
    <w:nsid w:val="1AC35B8D"/>
    <w:multiLevelType w:val="hybridMultilevel"/>
    <w:tmpl w:val="AF083F60"/>
    <w:lvl w:ilvl="0" w:tplc="BB121F70">
      <w:start w:val="6"/>
      <w:numFmt w:val="decimal"/>
      <w:pStyle w:val="A6"/>
      <w:lvlText w:val="A.%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7C5535"/>
    <w:multiLevelType w:val="hybridMultilevel"/>
    <w:tmpl w:val="D1321AC4"/>
    <w:lvl w:ilvl="0" w:tplc="3C70DD12">
      <w:start w:val="1"/>
      <w:numFmt w:val="decimal"/>
      <w:pStyle w:val="drugi"/>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4CC578C"/>
    <w:multiLevelType w:val="hybridMultilevel"/>
    <w:tmpl w:val="823A77C8"/>
    <w:lvl w:ilvl="0" w:tplc="BF16664C">
      <w:start w:val="1"/>
      <w:numFmt w:val="lowerLetter"/>
      <w:pStyle w:val="drugi0"/>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E2337F8"/>
    <w:multiLevelType w:val="hybridMultilevel"/>
    <w:tmpl w:val="05D89F68"/>
    <w:lvl w:ilvl="0" w:tplc="F24603D8">
      <w:start w:val="1"/>
      <w:numFmt w:val="decimal"/>
      <w:pStyle w:val="pity0"/>
      <w:lvlText w:val="%1)"/>
      <w:lvlJc w:val="left"/>
      <w:pPr>
        <w:ind w:left="1911" w:hanging="360"/>
      </w:pPr>
    </w:lvl>
    <w:lvl w:ilvl="1" w:tplc="04150019" w:tentative="1">
      <w:start w:val="1"/>
      <w:numFmt w:val="lowerLetter"/>
      <w:lvlText w:val="%2."/>
      <w:lvlJc w:val="left"/>
      <w:pPr>
        <w:ind w:left="2631" w:hanging="360"/>
      </w:pPr>
    </w:lvl>
    <w:lvl w:ilvl="2" w:tplc="0415001B" w:tentative="1">
      <w:start w:val="1"/>
      <w:numFmt w:val="lowerRoman"/>
      <w:lvlText w:val="%3."/>
      <w:lvlJc w:val="right"/>
      <w:pPr>
        <w:ind w:left="3351" w:hanging="180"/>
      </w:pPr>
    </w:lvl>
    <w:lvl w:ilvl="3" w:tplc="0415000F" w:tentative="1">
      <w:start w:val="1"/>
      <w:numFmt w:val="decimal"/>
      <w:lvlText w:val="%4."/>
      <w:lvlJc w:val="left"/>
      <w:pPr>
        <w:ind w:left="4071" w:hanging="360"/>
      </w:pPr>
    </w:lvl>
    <w:lvl w:ilvl="4" w:tplc="04150019" w:tentative="1">
      <w:start w:val="1"/>
      <w:numFmt w:val="lowerLetter"/>
      <w:lvlText w:val="%5."/>
      <w:lvlJc w:val="left"/>
      <w:pPr>
        <w:ind w:left="4791" w:hanging="360"/>
      </w:pPr>
    </w:lvl>
    <w:lvl w:ilvl="5" w:tplc="0415001B" w:tentative="1">
      <w:start w:val="1"/>
      <w:numFmt w:val="lowerRoman"/>
      <w:lvlText w:val="%6."/>
      <w:lvlJc w:val="right"/>
      <w:pPr>
        <w:ind w:left="5511" w:hanging="180"/>
      </w:pPr>
    </w:lvl>
    <w:lvl w:ilvl="6" w:tplc="0415000F" w:tentative="1">
      <w:start w:val="1"/>
      <w:numFmt w:val="decimal"/>
      <w:lvlText w:val="%7."/>
      <w:lvlJc w:val="left"/>
      <w:pPr>
        <w:ind w:left="6231" w:hanging="360"/>
      </w:pPr>
    </w:lvl>
    <w:lvl w:ilvl="7" w:tplc="04150019" w:tentative="1">
      <w:start w:val="1"/>
      <w:numFmt w:val="lowerLetter"/>
      <w:lvlText w:val="%8."/>
      <w:lvlJc w:val="left"/>
      <w:pPr>
        <w:ind w:left="6951" w:hanging="360"/>
      </w:pPr>
    </w:lvl>
    <w:lvl w:ilvl="8" w:tplc="0415001B" w:tentative="1">
      <w:start w:val="1"/>
      <w:numFmt w:val="lowerRoman"/>
      <w:lvlText w:val="%9."/>
      <w:lvlJc w:val="right"/>
      <w:pPr>
        <w:ind w:left="7671" w:hanging="180"/>
      </w:pPr>
    </w:lvl>
  </w:abstractNum>
  <w:abstractNum w:abstractNumId="11" w15:restartNumberingAfterBreak="0">
    <w:nsid w:val="38055642"/>
    <w:multiLevelType w:val="hybridMultilevel"/>
    <w:tmpl w:val="83F00BFC"/>
    <w:lvl w:ilvl="0" w:tplc="EF786F84">
      <w:start w:val="10"/>
      <w:numFmt w:val="decimal"/>
      <w:pStyle w:val="II"/>
      <w:lvlText w:val="II.1.%1."/>
      <w:lvlJc w:val="left"/>
      <w:pPr>
        <w:ind w:left="720" w:hanging="360"/>
      </w:pPr>
      <w:rPr>
        <w:rFonts w:ascii="Times New Roman" w:hAnsi="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FD10900"/>
    <w:multiLevelType w:val="hybridMultilevel"/>
    <w:tmpl w:val="CA1E73A2"/>
    <w:lvl w:ilvl="0" w:tplc="6BA895FE">
      <w:start w:val="1"/>
      <w:numFmt w:val="decimal"/>
      <w:pStyle w:val="czwarty"/>
      <w:lvlText w:val="%1)"/>
      <w:lvlJc w:val="left"/>
      <w:pPr>
        <w:ind w:left="1324" w:hanging="360"/>
      </w:pPr>
      <w:rPr>
        <w:rFonts w:ascii="Times New Roman" w:hAnsi="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9157153"/>
    <w:multiLevelType w:val="hybridMultilevel"/>
    <w:tmpl w:val="8C005F54"/>
    <w:lvl w:ilvl="0" w:tplc="79AAD20C">
      <w:start w:val="1"/>
      <w:numFmt w:val="bullet"/>
      <w:pStyle w:val="kropka"/>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53313999"/>
    <w:multiLevelType w:val="hybridMultilevel"/>
    <w:tmpl w:val="147AD5EE"/>
    <w:lvl w:ilvl="0" w:tplc="9356B70A">
      <w:start w:val="1"/>
      <w:numFmt w:val="decimal"/>
      <w:pStyle w:val="91"/>
      <w:lvlText w:val="9.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A1D62D7"/>
    <w:multiLevelType w:val="hybridMultilevel"/>
    <w:tmpl w:val="81AC1264"/>
    <w:lvl w:ilvl="0" w:tplc="FBCEAB84">
      <w:start w:val="1"/>
      <w:numFmt w:val="decimal"/>
      <w:pStyle w:val="pierwszy"/>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E762F55"/>
    <w:multiLevelType w:val="hybridMultilevel"/>
    <w:tmpl w:val="3EA21BBA"/>
    <w:lvl w:ilvl="0" w:tplc="9C3880CE">
      <w:start w:val="1"/>
      <w:numFmt w:val="decimal"/>
      <w:pStyle w:val="9111"/>
      <w:lvlText w:val="9.1.1.%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35E600A"/>
    <w:multiLevelType w:val="hybridMultilevel"/>
    <w:tmpl w:val="2CE4763E"/>
    <w:lvl w:ilvl="0" w:tplc="A0903968">
      <w:start w:val="1"/>
      <w:numFmt w:val="upperRoman"/>
      <w:pStyle w:val="Rzymskietabela"/>
      <w:lvlText w:val="%1."/>
      <w:lvlJc w:val="left"/>
      <w:pPr>
        <w:ind w:left="5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B30574A"/>
    <w:multiLevelType w:val="hybridMultilevel"/>
    <w:tmpl w:val="EB98BA8A"/>
    <w:lvl w:ilvl="0" w:tplc="CC346402">
      <w:start w:val="1"/>
      <w:numFmt w:val="decimal"/>
      <w:pStyle w:val="drugi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C7B7058"/>
    <w:multiLevelType w:val="hybridMultilevel"/>
    <w:tmpl w:val="DD269EC4"/>
    <w:lvl w:ilvl="0" w:tplc="2CF28D0C">
      <w:start w:val="1"/>
      <w:numFmt w:val="decimal"/>
      <w:pStyle w:val="Numeracja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45C3E89"/>
    <w:multiLevelType w:val="hybridMultilevel"/>
    <w:tmpl w:val="182222CC"/>
    <w:lvl w:ilvl="0" w:tplc="C5A87BB4">
      <w:start w:val="1"/>
      <w:numFmt w:val="upperLetter"/>
      <w:pStyle w:val="Atabela"/>
      <w:lvlText w:val="%1."/>
      <w:lvlJc w:val="left"/>
      <w:pPr>
        <w:ind w:left="777" w:hanging="360"/>
      </w:pPr>
      <w:rPr>
        <w:rFonts w:hint="default"/>
      </w:rPr>
    </w:lvl>
    <w:lvl w:ilvl="1" w:tplc="04150019" w:tentative="1">
      <w:start w:val="1"/>
      <w:numFmt w:val="lowerLetter"/>
      <w:lvlText w:val="%2."/>
      <w:lvlJc w:val="left"/>
      <w:pPr>
        <w:ind w:left="1497" w:hanging="360"/>
      </w:pPr>
    </w:lvl>
    <w:lvl w:ilvl="2" w:tplc="0415001B" w:tentative="1">
      <w:start w:val="1"/>
      <w:numFmt w:val="lowerRoman"/>
      <w:lvlText w:val="%3."/>
      <w:lvlJc w:val="right"/>
      <w:pPr>
        <w:ind w:left="2217" w:hanging="180"/>
      </w:pPr>
    </w:lvl>
    <w:lvl w:ilvl="3" w:tplc="0415000F" w:tentative="1">
      <w:start w:val="1"/>
      <w:numFmt w:val="decimal"/>
      <w:lvlText w:val="%4."/>
      <w:lvlJc w:val="left"/>
      <w:pPr>
        <w:ind w:left="2937" w:hanging="360"/>
      </w:pPr>
    </w:lvl>
    <w:lvl w:ilvl="4" w:tplc="04150019" w:tentative="1">
      <w:start w:val="1"/>
      <w:numFmt w:val="lowerLetter"/>
      <w:lvlText w:val="%5."/>
      <w:lvlJc w:val="left"/>
      <w:pPr>
        <w:ind w:left="3657" w:hanging="360"/>
      </w:pPr>
    </w:lvl>
    <w:lvl w:ilvl="5" w:tplc="0415001B" w:tentative="1">
      <w:start w:val="1"/>
      <w:numFmt w:val="lowerRoman"/>
      <w:lvlText w:val="%6."/>
      <w:lvlJc w:val="right"/>
      <w:pPr>
        <w:ind w:left="4377" w:hanging="180"/>
      </w:pPr>
    </w:lvl>
    <w:lvl w:ilvl="6" w:tplc="0415000F" w:tentative="1">
      <w:start w:val="1"/>
      <w:numFmt w:val="decimal"/>
      <w:lvlText w:val="%7."/>
      <w:lvlJc w:val="left"/>
      <w:pPr>
        <w:ind w:left="5097" w:hanging="360"/>
      </w:pPr>
    </w:lvl>
    <w:lvl w:ilvl="7" w:tplc="04150019" w:tentative="1">
      <w:start w:val="1"/>
      <w:numFmt w:val="lowerLetter"/>
      <w:lvlText w:val="%8."/>
      <w:lvlJc w:val="left"/>
      <w:pPr>
        <w:ind w:left="5817" w:hanging="360"/>
      </w:pPr>
    </w:lvl>
    <w:lvl w:ilvl="8" w:tplc="0415001B" w:tentative="1">
      <w:start w:val="1"/>
      <w:numFmt w:val="lowerRoman"/>
      <w:lvlText w:val="%9."/>
      <w:lvlJc w:val="right"/>
      <w:pPr>
        <w:ind w:left="6537" w:hanging="180"/>
      </w:pPr>
    </w:lvl>
  </w:abstractNum>
  <w:abstractNum w:abstractNumId="21" w15:restartNumberingAfterBreak="0">
    <w:nsid w:val="776A6406"/>
    <w:multiLevelType w:val="hybridMultilevel"/>
    <w:tmpl w:val="506E1E90"/>
    <w:lvl w:ilvl="0" w:tplc="E8105CD8">
      <w:start w:val="1"/>
      <w:numFmt w:val="lowerLetter"/>
      <w:pStyle w:val="czwarty0"/>
      <w:lvlText w:val="%1)"/>
      <w:lvlJc w:val="left"/>
      <w:pPr>
        <w:ind w:left="132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8BDE82C"/>
    <w:multiLevelType w:val="hybridMultilevel"/>
    <w:tmpl w:val="A3071F24"/>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7E0C6FEA"/>
    <w:multiLevelType w:val="hybridMultilevel"/>
    <w:tmpl w:val="949214DA"/>
    <w:lvl w:ilvl="0" w:tplc="38E03246">
      <w:start w:val="1"/>
      <w:numFmt w:val="decimal"/>
      <w:pStyle w:val="A61"/>
      <w:lvlText w:val="A.6.%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F7D3D15"/>
    <w:multiLevelType w:val="hybridMultilevel"/>
    <w:tmpl w:val="0EB6C506"/>
    <w:lvl w:ilvl="0" w:tplc="F4A26C88">
      <w:start w:val="1"/>
      <w:numFmt w:val="bullet"/>
      <w:pStyle w:val="-"/>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472021307">
    <w:abstractNumId w:val="19"/>
  </w:num>
  <w:num w:numId="2" w16cid:durableId="511141227">
    <w:abstractNumId w:val="8"/>
  </w:num>
  <w:num w:numId="3" w16cid:durableId="1345741717">
    <w:abstractNumId w:val="15"/>
  </w:num>
  <w:num w:numId="4" w16cid:durableId="1696886636">
    <w:abstractNumId w:val="8"/>
    <w:lvlOverride w:ilvl="0">
      <w:startOverride w:val="1"/>
    </w:lvlOverride>
  </w:num>
  <w:num w:numId="5" w16cid:durableId="1796173436">
    <w:abstractNumId w:val="9"/>
  </w:num>
  <w:num w:numId="6" w16cid:durableId="1401439073">
    <w:abstractNumId w:val="8"/>
    <w:lvlOverride w:ilvl="0">
      <w:startOverride w:val="1"/>
    </w:lvlOverride>
  </w:num>
  <w:num w:numId="7" w16cid:durableId="307369052">
    <w:abstractNumId w:val="18"/>
  </w:num>
  <w:num w:numId="8" w16cid:durableId="791557171">
    <w:abstractNumId w:val="6"/>
  </w:num>
  <w:num w:numId="9" w16cid:durableId="940574001">
    <w:abstractNumId w:val="24"/>
  </w:num>
  <w:num w:numId="10" w16cid:durableId="1998410510">
    <w:abstractNumId w:val="11"/>
  </w:num>
  <w:num w:numId="11" w16cid:durableId="98139032">
    <w:abstractNumId w:val="12"/>
  </w:num>
  <w:num w:numId="12" w16cid:durableId="716667291">
    <w:abstractNumId w:val="1"/>
  </w:num>
  <w:num w:numId="13" w16cid:durableId="182406299">
    <w:abstractNumId w:val="13"/>
  </w:num>
  <w:num w:numId="14" w16cid:durableId="2002462406">
    <w:abstractNumId w:val="7"/>
  </w:num>
  <w:num w:numId="15" w16cid:durableId="1276137132">
    <w:abstractNumId w:val="23"/>
  </w:num>
  <w:num w:numId="16" w16cid:durableId="1738087782">
    <w:abstractNumId w:val="21"/>
  </w:num>
  <w:num w:numId="17" w16cid:durableId="1631279415">
    <w:abstractNumId w:val="5"/>
  </w:num>
  <w:num w:numId="18" w16cid:durableId="337655609">
    <w:abstractNumId w:val="3"/>
  </w:num>
  <w:num w:numId="19" w16cid:durableId="2081783012">
    <w:abstractNumId w:val="14"/>
  </w:num>
  <w:num w:numId="20" w16cid:durableId="1449740106">
    <w:abstractNumId w:val="16"/>
  </w:num>
  <w:num w:numId="21" w16cid:durableId="300886942">
    <w:abstractNumId w:val="2"/>
  </w:num>
  <w:num w:numId="22" w16cid:durableId="1681085488">
    <w:abstractNumId w:val="10"/>
  </w:num>
  <w:num w:numId="23" w16cid:durableId="1250889510">
    <w:abstractNumId w:val="17"/>
  </w:num>
  <w:num w:numId="24" w16cid:durableId="1564291543">
    <w:abstractNumId w:val="20"/>
  </w:num>
  <w:num w:numId="25" w16cid:durableId="107938985">
    <w:abstractNumId w:val="8"/>
    <w:lvlOverride w:ilvl="0">
      <w:startOverride w:val="1"/>
    </w:lvlOverride>
  </w:num>
  <w:num w:numId="26" w16cid:durableId="765998996">
    <w:abstractNumId w:val="8"/>
    <w:lvlOverride w:ilvl="0">
      <w:startOverride w:val="1"/>
    </w:lvlOverride>
  </w:num>
  <w:num w:numId="27" w16cid:durableId="1775899849">
    <w:abstractNumId w:val="6"/>
    <w:lvlOverride w:ilvl="0">
      <w:startOverride w:val="1"/>
    </w:lvlOverride>
  </w:num>
  <w:num w:numId="28" w16cid:durableId="1653212448">
    <w:abstractNumId w:val="8"/>
    <w:lvlOverride w:ilvl="0">
      <w:startOverride w:val="1"/>
    </w:lvlOverride>
  </w:num>
  <w:num w:numId="29" w16cid:durableId="1593394976">
    <w:abstractNumId w:val="9"/>
    <w:lvlOverride w:ilvl="0">
      <w:startOverride w:val="1"/>
    </w:lvlOverride>
  </w:num>
  <w:num w:numId="30" w16cid:durableId="5132906">
    <w:abstractNumId w:val="9"/>
    <w:lvlOverride w:ilvl="0">
      <w:startOverride w:val="1"/>
    </w:lvlOverride>
  </w:num>
  <w:num w:numId="31" w16cid:durableId="379477015">
    <w:abstractNumId w:val="9"/>
    <w:lvlOverride w:ilvl="0">
      <w:startOverride w:val="1"/>
    </w:lvlOverride>
  </w:num>
  <w:num w:numId="32" w16cid:durableId="411202226">
    <w:abstractNumId w:val="6"/>
    <w:lvlOverride w:ilvl="0">
      <w:startOverride w:val="1"/>
    </w:lvlOverride>
  </w:num>
  <w:num w:numId="33" w16cid:durableId="563293265">
    <w:abstractNumId w:val="4"/>
  </w:num>
  <w:num w:numId="34" w16cid:durableId="1967851913">
    <w:abstractNumId w:val="9"/>
    <w:lvlOverride w:ilvl="0">
      <w:startOverride w:val="1"/>
    </w:lvlOverride>
  </w:num>
  <w:num w:numId="35" w16cid:durableId="1301492759">
    <w:abstractNumId w:val="9"/>
    <w:lvlOverride w:ilvl="0">
      <w:startOverride w:val="1"/>
    </w:lvlOverride>
  </w:num>
  <w:num w:numId="36" w16cid:durableId="566577899">
    <w:abstractNumId w:val="4"/>
    <w:lvlOverride w:ilvl="0">
      <w:startOverride w:val="1"/>
    </w:lvlOverride>
  </w:num>
  <w:num w:numId="37" w16cid:durableId="650912089">
    <w:abstractNumId w:val="4"/>
    <w:lvlOverride w:ilvl="0">
      <w:startOverride w:val="1"/>
    </w:lvlOverride>
  </w:num>
  <w:num w:numId="38" w16cid:durableId="820997431">
    <w:abstractNumId w:val="9"/>
    <w:lvlOverride w:ilvl="0">
      <w:startOverride w:val="1"/>
    </w:lvlOverride>
  </w:num>
  <w:num w:numId="39" w16cid:durableId="2096704572">
    <w:abstractNumId w:val="20"/>
    <w:lvlOverride w:ilvl="0">
      <w:startOverride w:val="4"/>
    </w:lvlOverride>
  </w:num>
  <w:num w:numId="40" w16cid:durableId="1007439397">
    <w:abstractNumId w:val="20"/>
    <w:lvlOverride w:ilvl="0">
      <w:startOverride w:val="7"/>
    </w:lvlOverride>
  </w:num>
  <w:num w:numId="41" w16cid:durableId="1183402636">
    <w:abstractNumId w:val="9"/>
    <w:lvlOverride w:ilvl="0">
      <w:startOverride w:val="8"/>
    </w:lvlOverride>
  </w:num>
  <w:num w:numId="42" w16cid:durableId="661466501">
    <w:abstractNumId w:val="9"/>
    <w:lvlOverride w:ilvl="0">
      <w:startOverride w:val="15"/>
    </w:lvlOverride>
  </w:num>
  <w:num w:numId="43" w16cid:durableId="1464926572">
    <w:abstractNumId w:val="9"/>
    <w:lvlOverride w:ilvl="0">
      <w:startOverride w:val="1"/>
    </w:lvlOverride>
  </w:num>
  <w:num w:numId="44" w16cid:durableId="850333399">
    <w:abstractNumId w:val="9"/>
    <w:lvlOverride w:ilvl="0">
      <w:startOverride w:val="1"/>
    </w:lvlOverride>
  </w:num>
  <w:num w:numId="45" w16cid:durableId="335152815">
    <w:abstractNumId w:val="9"/>
    <w:lvlOverride w:ilvl="0">
      <w:startOverride w:val="1"/>
    </w:lvlOverride>
  </w:num>
  <w:num w:numId="46" w16cid:durableId="2089571728">
    <w:abstractNumId w:val="9"/>
    <w:lvlOverride w:ilvl="0">
      <w:startOverride w:val="1"/>
    </w:lvlOverride>
  </w:num>
  <w:num w:numId="47" w16cid:durableId="11105999">
    <w:abstractNumId w:val="22"/>
  </w:num>
  <w:num w:numId="48" w16cid:durableId="774053389">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849"/>
    <w:rsid w:val="00004AA9"/>
    <w:rsid w:val="00016D76"/>
    <w:rsid w:val="00022B3A"/>
    <w:rsid w:val="00024170"/>
    <w:rsid w:val="00026849"/>
    <w:rsid w:val="00033185"/>
    <w:rsid w:val="0003397E"/>
    <w:rsid w:val="000355AD"/>
    <w:rsid w:val="00052359"/>
    <w:rsid w:val="000628D5"/>
    <w:rsid w:val="00063D05"/>
    <w:rsid w:val="00070455"/>
    <w:rsid w:val="00077F3E"/>
    <w:rsid w:val="000B7982"/>
    <w:rsid w:val="000D1905"/>
    <w:rsid w:val="000E4E95"/>
    <w:rsid w:val="00111E15"/>
    <w:rsid w:val="001250BB"/>
    <w:rsid w:val="00133A8C"/>
    <w:rsid w:val="00134F0C"/>
    <w:rsid w:val="001556EB"/>
    <w:rsid w:val="001742D9"/>
    <w:rsid w:val="0018045B"/>
    <w:rsid w:val="001B13AE"/>
    <w:rsid w:val="001E124C"/>
    <w:rsid w:val="00221645"/>
    <w:rsid w:val="00236AD2"/>
    <w:rsid w:val="00236D78"/>
    <w:rsid w:val="0023769D"/>
    <w:rsid w:val="002468DF"/>
    <w:rsid w:val="00252A0A"/>
    <w:rsid w:val="002603B4"/>
    <w:rsid w:val="00261911"/>
    <w:rsid w:val="00263B39"/>
    <w:rsid w:val="002652EF"/>
    <w:rsid w:val="002767D8"/>
    <w:rsid w:val="00277F87"/>
    <w:rsid w:val="00286392"/>
    <w:rsid w:val="0029036D"/>
    <w:rsid w:val="002A1AD3"/>
    <w:rsid w:val="002B2D57"/>
    <w:rsid w:val="002C13A3"/>
    <w:rsid w:val="002C217F"/>
    <w:rsid w:val="002C7904"/>
    <w:rsid w:val="002E6B9A"/>
    <w:rsid w:val="002F2745"/>
    <w:rsid w:val="002F2DFB"/>
    <w:rsid w:val="002F3635"/>
    <w:rsid w:val="002F50E4"/>
    <w:rsid w:val="003067D9"/>
    <w:rsid w:val="00342636"/>
    <w:rsid w:val="00361402"/>
    <w:rsid w:val="00363528"/>
    <w:rsid w:val="003657EC"/>
    <w:rsid w:val="0036726F"/>
    <w:rsid w:val="003737CB"/>
    <w:rsid w:val="0037798E"/>
    <w:rsid w:val="003B21DE"/>
    <w:rsid w:val="003B262D"/>
    <w:rsid w:val="003C0736"/>
    <w:rsid w:val="003E5684"/>
    <w:rsid w:val="0040140A"/>
    <w:rsid w:val="0041188D"/>
    <w:rsid w:val="0041562E"/>
    <w:rsid w:val="00417416"/>
    <w:rsid w:val="004214D3"/>
    <w:rsid w:val="004266BD"/>
    <w:rsid w:val="004309E7"/>
    <w:rsid w:val="0046150A"/>
    <w:rsid w:val="00464AE7"/>
    <w:rsid w:val="00473A08"/>
    <w:rsid w:val="0048291E"/>
    <w:rsid w:val="00496C60"/>
    <w:rsid w:val="004A22D1"/>
    <w:rsid w:val="004A5A0B"/>
    <w:rsid w:val="004A5D20"/>
    <w:rsid w:val="004A755C"/>
    <w:rsid w:val="004B031C"/>
    <w:rsid w:val="004F2A29"/>
    <w:rsid w:val="005000B4"/>
    <w:rsid w:val="00503048"/>
    <w:rsid w:val="0052034A"/>
    <w:rsid w:val="00526391"/>
    <w:rsid w:val="005306CC"/>
    <w:rsid w:val="00542299"/>
    <w:rsid w:val="00544E5D"/>
    <w:rsid w:val="00563A08"/>
    <w:rsid w:val="00564D5C"/>
    <w:rsid w:val="00586169"/>
    <w:rsid w:val="00586F6F"/>
    <w:rsid w:val="005A7C21"/>
    <w:rsid w:val="005B5AF4"/>
    <w:rsid w:val="005B7C3F"/>
    <w:rsid w:val="005C7358"/>
    <w:rsid w:val="005F131A"/>
    <w:rsid w:val="005F53B3"/>
    <w:rsid w:val="00606E24"/>
    <w:rsid w:val="006074BC"/>
    <w:rsid w:val="00610535"/>
    <w:rsid w:val="00616BDB"/>
    <w:rsid w:val="00617C1F"/>
    <w:rsid w:val="00621710"/>
    <w:rsid w:val="00627ADD"/>
    <w:rsid w:val="0068074C"/>
    <w:rsid w:val="006B2BD0"/>
    <w:rsid w:val="006C36C2"/>
    <w:rsid w:val="006C3FC1"/>
    <w:rsid w:val="006D3E12"/>
    <w:rsid w:val="006D3E22"/>
    <w:rsid w:val="006E18CA"/>
    <w:rsid w:val="006E7BE4"/>
    <w:rsid w:val="006F64DD"/>
    <w:rsid w:val="00704EE3"/>
    <w:rsid w:val="00717D9E"/>
    <w:rsid w:val="0072084E"/>
    <w:rsid w:val="007253A9"/>
    <w:rsid w:val="00741900"/>
    <w:rsid w:val="00750399"/>
    <w:rsid w:val="00781EBD"/>
    <w:rsid w:val="00786CFE"/>
    <w:rsid w:val="007A5485"/>
    <w:rsid w:val="007C3679"/>
    <w:rsid w:val="007E23C7"/>
    <w:rsid w:val="007E4080"/>
    <w:rsid w:val="007E42B8"/>
    <w:rsid w:val="007E6C11"/>
    <w:rsid w:val="007F6FAE"/>
    <w:rsid w:val="00800437"/>
    <w:rsid w:val="00807BD4"/>
    <w:rsid w:val="00807E13"/>
    <w:rsid w:val="00807FC2"/>
    <w:rsid w:val="00813740"/>
    <w:rsid w:val="00817551"/>
    <w:rsid w:val="008201B7"/>
    <w:rsid w:val="0082059F"/>
    <w:rsid w:val="00821475"/>
    <w:rsid w:val="008330DB"/>
    <w:rsid w:val="00845DCD"/>
    <w:rsid w:val="00852BA0"/>
    <w:rsid w:val="0087163C"/>
    <w:rsid w:val="00876407"/>
    <w:rsid w:val="008B14CA"/>
    <w:rsid w:val="008C169F"/>
    <w:rsid w:val="008C21DA"/>
    <w:rsid w:val="008C35AA"/>
    <w:rsid w:val="008D0657"/>
    <w:rsid w:val="008D0B53"/>
    <w:rsid w:val="008D27E2"/>
    <w:rsid w:val="008E3381"/>
    <w:rsid w:val="008F03B6"/>
    <w:rsid w:val="008F28C1"/>
    <w:rsid w:val="008F4F74"/>
    <w:rsid w:val="008F4FC4"/>
    <w:rsid w:val="008F777C"/>
    <w:rsid w:val="00905314"/>
    <w:rsid w:val="00906EDF"/>
    <w:rsid w:val="009074A7"/>
    <w:rsid w:val="0091646E"/>
    <w:rsid w:val="00917477"/>
    <w:rsid w:val="00922588"/>
    <w:rsid w:val="00930A78"/>
    <w:rsid w:val="009425C7"/>
    <w:rsid w:val="009606ED"/>
    <w:rsid w:val="0096477F"/>
    <w:rsid w:val="00970487"/>
    <w:rsid w:val="00980FDE"/>
    <w:rsid w:val="009838B1"/>
    <w:rsid w:val="00990BC3"/>
    <w:rsid w:val="009B276C"/>
    <w:rsid w:val="009B2E04"/>
    <w:rsid w:val="009C36C7"/>
    <w:rsid w:val="009E4595"/>
    <w:rsid w:val="009E5150"/>
    <w:rsid w:val="009F2D52"/>
    <w:rsid w:val="009F78EC"/>
    <w:rsid w:val="00A1090A"/>
    <w:rsid w:val="00A16511"/>
    <w:rsid w:val="00A2267C"/>
    <w:rsid w:val="00A35910"/>
    <w:rsid w:val="00A436B2"/>
    <w:rsid w:val="00A86DB4"/>
    <w:rsid w:val="00AA71C4"/>
    <w:rsid w:val="00AB3BE9"/>
    <w:rsid w:val="00AF6F17"/>
    <w:rsid w:val="00B206CE"/>
    <w:rsid w:val="00B23006"/>
    <w:rsid w:val="00B2490D"/>
    <w:rsid w:val="00B24C1B"/>
    <w:rsid w:val="00B26712"/>
    <w:rsid w:val="00B32773"/>
    <w:rsid w:val="00B327E3"/>
    <w:rsid w:val="00B402AB"/>
    <w:rsid w:val="00B4347B"/>
    <w:rsid w:val="00B508D6"/>
    <w:rsid w:val="00B644F3"/>
    <w:rsid w:val="00BA64DE"/>
    <w:rsid w:val="00BB534D"/>
    <w:rsid w:val="00C054C2"/>
    <w:rsid w:val="00C2642B"/>
    <w:rsid w:val="00C357E5"/>
    <w:rsid w:val="00C61568"/>
    <w:rsid w:val="00C62551"/>
    <w:rsid w:val="00C7639C"/>
    <w:rsid w:val="00CB0F77"/>
    <w:rsid w:val="00CB7729"/>
    <w:rsid w:val="00CC2CFB"/>
    <w:rsid w:val="00CD1E4F"/>
    <w:rsid w:val="00CE42E0"/>
    <w:rsid w:val="00CE5260"/>
    <w:rsid w:val="00D05F3F"/>
    <w:rsid w:val="00D078DA"/>
    <w:rsid w:val="00D50530"/>
    <w:rsid w:val="00D702F8"/>
    <w:rsid w:val="00D76B06"/>
    <w:rsid w:val="00D77425"/>
    <w:rsid w:val="00D96F81"/>
    <w:rsid w:val="00DA3437"/>
    <w:rsid w:val="00DB3B97"/>
    <w:rsid w:val="00DD1B09"/>
    <w:rsid w:val="00DE00C3"/>
    <w:rsid w:val="00DF04AB"/>
    <w:rsid w:val="00DF0C56"/>
    <w:rsid w:val="00DF2B55"/>
    <w:rsid w:val="00DF48A0"/>
    <w:rsid w:val="00DF792F"/>
    <w:rsid w:val="00E01BA5"/>
    <w:rsid w:val="00E210DF"/>
    <w:rsid w:val="00E229AB"/>
    <w:rsid w:val="00E23146"/>
    <w:rsid w:val="00E2592A"/>
    <w:rsid w:val="00E45A32"/>
    <w:rsid w:val="00E47618"/>
    <w:rsid w:val="00E60FFF"/>
    <w:rsid w:val="00E611DB"/>
    <w:rsid w:val="00E64DA0"/>
    <w:rsid w:val="00E833C0"/>
    <w:rsid w:val="00E91065"/>
    <w:rsid w:val="00EA1C7C"/>
    <w:rsid w:val="00EA317F"/>
    <w:rsid w:val="00EA41A6"/>
    <w:rsid w:val="00EC14C5"/>
    <w:rsid w:val="00EC3F27"/>
    <w:rsid w:val="00EC4259"/>
    <w:rsid w:val="00ED72A5"/>
    <w:rsid w:val="00EE6E99"/>
    <w:rsid w:val="00F165D8"/>
    <w:rsid w:val="00F3239B"/>
    <w:rsid w:val="00F4234E"/>
    <w:rsid w:val="00F554DA"/>
    <w:rsid w:val="00F93BEB"/>
    <w:rsid w:val="00F9673C"/>
    <w:rsid w:val="00FB1E55"/>
    <w:rsid w:val="00FC2ED7"/>
    <w:rsid w:val="00FC5AA8"/>
    <w:rsid w:val="00FD0AB9"/>
    <w:rsid w:val="00FD2BC2"/>
    <w:rsid w:val="00FE431C"/>
    <w:rsid w:val="00FF55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439A3C"/>
  <w15:chartTrackingRefBased/>
  <w15:docId w15:val="{19BCC35F-E3CE-4C8C-8141-326A7F50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07E13"/>
    <w:pPr>
      <w:spacing w:before="120"/>
      <w:jc w:val="both"/>
    </w:pPr>
    <w:rPr>
      <w:rFonts w:ascii="Times New Roman" w:hAnsi="Times New Roman"/>
      <w:sz w:val="24"/>
    </w:rPr>
  </w:style>
  <w:style w:type="paragraph" w:styleId="Nagwek1">
    <w:name w:val="heading 1"/>
    <w:basedOn w:val="Normalny"/>
    <w:next w:val="Normalny"/>
    <w:link w:val="Nagwek1Znak"/>
    <w:uiPriority w:val="9"/>
    <w:qFormat/>
    <w:rsid w:val="00807E13"/>
    <w:pPr>
      <w:keepNext/>
      <w:spacing w:after="0" w:line="240" w:lineRule="auto"/>
      <w:jc w:val="left"/>
      <w:outlineLvl w:val="0"/>
    </w:pPr>
    <w:rPr>
      <w:rFonts w:cs="Times New Roman"/>
      <w:b/>
      <w:bCs/>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3769D"/>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umeracja1">
    <w:name w:val="Numeracja 1"/>
    <w:basedOn w:val="Normalny"/>
    <w:next w:val="Normalny"/>
    <w:autoRedefine/>
    <w:qFormat/>
    <w:rsid w:val="004A5A0B"/>
    <w:pPr>
      <w:numPr>
        <w:numId w:val="1"/>
      </w:numPr>
      <w:spacing w:after="120" w:line="276" w:lineRule="auto"/>
      <w:ind w:left="357" w:hanging="357"/>
    </w:pPr>
    <w:rPr>
      <w:b/>
    </w:rPr>
  </w:style>
  <w:style w:type="paragraph" w:customStyle="1" w:styleId="NormalnyIRIESD">
    <w:name w:val="Normalny IRIESD"/>
    <w:basedOn w:val="Normalny"/>
    <w:autoRedefine/>
    <w:qFormat/>
    <w:rsid w:val="005B7C3F"/>
    <w:pPr>
      <w:spacing w:after="120" w:line="276" w:lineRule="auto"/>
      <w:ind w:left="357"/>
    </w:pPr>
  </w:style>
  <w:style w:type="paragraph" w:styleId="Akapitzlist">
    <w:name w:val="List Paragraph"/>
    <w:basedOn w:val="Normalny"/>
    <w:link w:val="AkapitzlistZnak"/>
    <w:uiPriority w:val="34"/>
    <w:qFormat/>
    <w:rsid w:val="001742D9"/>
    <w:pPr>
      <w:ind w:left="720"/>
      <w:contextualSpacing/>
    </w:pPr>
  </w:style>
  <w:style w:type="paragraph" w:customStyle="1" w:styleId="drugi">
    <w:name w:val="drugi"/>
    <w:basedOn w:val="Normalny"/>
    <w:next w:val="NormalnyIRIESD"/>
    <w:autoRedefine/>
    <w:qFormat/>
    <w:rsid w:val="0052034A"/>
    <w:pPr>
      <w:numPr>
        <w:numId w:val="2"/>
      </w:numPr>
      <w:spacing w:line="276" w:lineRule="auto"/>
    </w:pPr>
  </w:style>
  <w:style w:type="paragraph" w:customStyle="1" w:styleId="pierwszy">
    <w:name w:val="pierwszy"/>
    <w:basedOn w:val="Normalny"/>
    <w:next w:val="NormalnyIRIESD"/>
    <w:autoRedefine/>
    <w:qFormat/>
    <w:rsid w:val="0091646E"/>
    <w:pPr>
      <w:numPr>
        <w:numId w:val="3"/>
      </w:numPr>
      <w:spacing w:line="276" w:lineRule="auto"/>
      <w:ind w:left="357" w:hanging="357"/>
    </w:pPr>
  </w:style>
  <w:style w:type="paragraph" w:customStyle="1" w:styleId="drugi0">
    <w:name w:val="drugi."/>
    <w:basedOn w:val="Normalny"/>
    <w:next w:val="NormalnyIRIESD"/>
    <w:autoRedefine/>
    <w:qFormat/>
    <w:rsid w:val="00D702F8"/>
    <w:pPr>
      <w:numPr>
        <w:numId w:val="5"/>
      </w:numPr>
      <w:spacing w:line="276" w:lineRule="auto"/>
    </w:pPr>
  </w:style>
  <w:style w:type="paragraph" w:customStyle="1" w:styleId="drugi1">
    <w:name w:val="drugi.."/>
    <w:basedOn w:val="Normalny"/>
    <w:next w:val="NormalnyIRIESD"/>
    <w:autoRedefine/>
    <w:qFormat/>
    <w:rsid w:val="00781EBD"/>
    <w:pPr>
      <w:numPr>
        <w:numId w:val="7"/>
      </w:numPr>
      <w:spacing w:line="276" w:lineRule="auto"/>
    </w:pPr>
  </w:style>
  <w:style w:type="paragraph" w:customStyle="1" w:styleId="trzeci0">
    <w:name w:val="trzeci."/>
    <w:basedOn w:val="Normalny"/>
    <w:next w:val="NormalnyIRIESD"/>
    <w:autoRedefine/>
    <w:qFormat/>
    <w:rsid w:val="005B7C3F"/>
    <w:pPr>
      <w:numPr>
        <w:numId w:val="8"/>
      </w:numPr>
      <w:spacing w:line="276" w:lineRule="auto"/>
    </w:pPr>
  </w:style>
  <w:style w:type="paragraph" w:customStyle="1" w:styleId="-">
    <w:name w:val="-"/>
    <w:basedOn w:val="Normalny"/>
    <w:next w:val="NormalnyIRIESD"/>
    <w:link w:val="-Znak"/>
    <w:autoRedefine/>
    <w:qFormat/>
    <w:rsid w:val="00544E5D"/>
    <w:pPr>
      <w:numPr>
        <w:numId w:val="9"/>
      </w:numPr>
      <w:ind w:left="1077" w:hanging="357"/>
    </w:pPr>
    <w:rPr>
      <w:rFonts w:cs="Times New Roman"/>
      <w:szCs w:val="24"/>
    </w:rPr>
  </w:style>
  <w:style w:type="paragraph" w:customStyle="1" w:styleId="II">
    <w:name w:val="II"/>
    <w:basedOn w:val="Normalny"/>
    <w:next w:val="NormalnyIRIESD"/>
    <w:qFormat/>
    <w:rsid w:val="00EA1C7C"/>
    <w:pPr>
      <w:numPr>
        <w:numId w:val="10"/>
      </w:numPr>
      <w:spacing w:line="276" w:lineRule="auto"/>
      <w:ind w:left="964" w:hanging="964"/>
    </w:pPr>
  </w:style>
  <w:style w:type="character" w:customStyle="1" w:styleId="AkapitzlistZnak">
    <w:name w:val="Akapit z listą Znak"/>
    <w:basedOn w:val="Domylnaczcionkaakapitu"/>
    <w:link w:val="Akapitzlist"/>
    <w:uiPriority w:val="34"/>
    <w:rsid w:val="004A755C"/>
  </w:style>
  <w:style w:type="character" w:customStyle="1" w:styleId="-Znak">
    <w:name w:val="- Znak"/>
    <w:basedOn w:val="AkapitzlistZnak"/>
    <w:link w:val="-"/>
    <w:rsid w:val="00544E5D"/>
    <w:rPr>
      <w:rFonts w:ascii="Times New Roman" w:hAnsi="Times New Roman" w:cs="Times New Roman"/>
      <w:sz w:val="24"/>
      <w:szCs w:val="24"/>
    </w:rPr>
  </w:style>
  <w:style w:type="paragraph" w:customStyle="1" w:styleId="czwarty">
    <w:name w:val="czwarty"/>
    <w:basedOn w:val="Normalny"/>
    <w:next w:val="NormalnyIRIESD"/>
    <w:autoRedefine/>
    <w:qFormat/>
    <w:rsid w:val="0072084E"/>
    <w:pPr>
      <w:numPr>
        <w:numId w:val="11"/>
      </w:numPr>
      <w:spacing w:line="276" w:lineRule="auto"/>
    </w:pPr>
  </w:style>
  <w:style w:type="paragraph" w:customStyle="1" w:styleId="Normalny2IRIESD">
    <w:name w:val="Normalny 2 IRIESD"/>
    <w:basedOn w:val="Normalny"/>
    <w:autoRedefine/>
    <w:qFormat/>
    <w:rsid w:val="00FC2ED7"/>
    <w:pPr>
      <w:spacing w:line="276" w:lineRule="auto"/>
      <w:ind w:left="1077"/>
    </w:pPr>
  </w:style>
  <w:style w:type="paragraph" w:customStyle="1" w:styleId="trzeci">
    <w:name w:val="trzeci"/>
    <w:basedOn w:val="Normalny"/>
    <w:next w:val="Normalny2IRIESD"/>
    <w:autoRedefine/>
    <w:qFormat/>
    <w:rsid w:val="008E3381"/>
    <w:pPr>
      <w:numPr>
        <w:numId w:val="12"/>
      </w:numPr>
      <w:spacing w:line="276" w:lineRule="auto"/>
    </w:pPr>
  </w:style>
  <w:style w:type="paragraph" w:customStyle="1" w:styleId="kropka">
    <w:name w:val="kropka"/>
    <w:basedOn w:val="Normalny"/>
    <w:next w:val="NormalnyIRIESD"/>
    <w:autoRedefine/>
    <w:qFormat/>
    <w:rsid w:val="002468DF"/>
    <w:pPr>
      <w:numPr>
        <w:numId w:val="13"/>
      </w:numPr>
      <w:ind w:left="714" w:hanging="357"/>
    </w:pPr>
  </w:style>
  <w:style w:type="paragraph" w:customStyle="1" w:styleId="A6">
    <w:name w:val="A.6"/>
    <w:basedOn w:val="Normalny"/>
    <w:next w:val="NormalnyIRIESD"/>
    <w:autoRedefine/>
    <w:qFormat/>
    <w:rsid w:val="002468DF"/>
    <w:pPr>
      <w:numPr>
        <w:numId w:val="14"/>
      </w:numPr>
      <w:ind w:left="964" w:hanging="964"/>
    </w:pPr>
    <w:rPr>
      <w:b/>
    </w:rPr>
  </w:style>
  <w:style w:type="paragraph" w:customStyle="1" w:styleId="A61">
    <w:name w:val="A.6.1."/>
    <w:basedOn w:val="Normalny"/>
    <w:next w:val="NormalnyIRIESD"/>
    <w:autoRedefine/>
    <w:qFormat/>
    <w:rsid w:val="0040140A"/>
    <w:pPr>
      <w:numPr>
        <w:numId w:val="15"/>
      </w:numPr>
      <w:ind w:left="964" w:hanging="964"/>
    </w:pPr>
  </w:style>
  <w:style w:type="paragraph" w:customStyle="1" w:styleId="czwarty0">
    <w:name w:val="czwarty."/>
    <w:basedOn w:val="Normalny"/>
    <w:next w:val="NormalnyIRIESD"/>
    <w:autoRedefine/>
    <w:qFormat/>
    <w:rsid w:val="008D27E2"/>
    <w:pPr>
      <w:numPr>
        <w:numId w:val="16"/>
      </w:numPr>
    </w:pPr>
  </w:style>
  <w:style w:type="paragraph" w:customStyle="1" w:styleId="A11">
    <w:name w:val="A.11"/>
    <w:basedOn w:val="Normalny"/>
    <w:next w:val="NormalnyIRIESD"/>
    <w:autoRedefine/>
    <w:qFormat/>
    <w:rsid w:val="0040140A"/>
    <w:pPr>
      <w:numPr>
        <w:numId w:val="17"/>
      </w:numPr>
      <w:ind w:left="964" w:hanging="964"/>
    </w:pPr>
  </w:style>
  <w:style w:type="table" w:styleId="Tabela-Siatka">
    <w:name w:val="Table Grid"/>
    <w:basedOn w:val="Standardowy"/>
    <w:uiPriority w:val="39"/>
    <w:rsid w:val="00530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5306CC"/>
    <w:rPr>
      <w:color w:val="808080"/>
    </w:rPr>
  </w:style>
  <w:style w:type="paragraph" w:customStyle="1" w:styleId="E1">
    <w:name w:val="E.1"/>
    <w:basedOn w:val="Normalny"/>
    <w:next w:val="NormalnyIRIESD"/>
    <w:autoRedefine/>
    <w:qFormat/>
    <w:rsid w:val="00EA41A6"/>
    <w:pPr>
      <w:numPr>
        <w:numId w:val="18"/>
      </w:numPr>
      <w:ind w:left="964" w:hanging="964"/>
    </w:pPr>
  </w:style>
  <w:style w:type="character" w:customStyle="1" w:styleId="Nagwek1Znak">
    <w:name w:val="Nagłówek 1 Znak"/>
    <w:basedOn w:val="Domylnaczcionkaakapitu"/>
    <w:link w:val="Nagwek1"/>
    <w:uiPriority w:val="9"/>
    <w:rsid w:val="00807E13"/>
    <w:rPr>
      <w:rFonts w:ascii="Times New Roman" w:hAnsi="Times New Roman" w:cs="Times New Roman"/>
      <w:b/>
      <w:bCs/>
      <w:sz w:val="24"/>
      <w:szCs w:val="24"/>
    </w:rPr>
  </w:style>
  <w:style w:type="paragraph" w:styleId="Tekstpodstawowy">
    <w:name w:val="Body Text"/>
    <w:basedOn w:val="Normalny"/>
    <w:link w:val="TekstpodstawowyZnak"/>
    <w:uiPriority w:val="99"/>
    <w:unhideWhenUsed/>
    <w:rsid w:val="002F2745"/>
    <w:pPr>
      <w:spacing w:after="120" w:line="240" w:lineRule="auto"/>
    </w:pPr>
    <w:rPr>
      <w:rFonts w:cs="Times New Roman"/>
      <w:b/>
      <w:bCs/>
      <w:szCs w:val="24"/>
    </w:rPr>
  </w:style>
  <w:style w:type="character" w:customStyle="1" w:styleId="TekstpodstawowyZnak">
    <w:name w:val="Tekst podstawowy Znak"/>
    <w:basedOn w:val="Domylnaczcionkaakapitu"/>
    <w:link w:val="Tekstpodstawowy"/>
    <w:uiPriority w:val="99"/>
    <w:rsid w:val="002F2745"/>
    <w:rPr>
      <w:rFonts w:ascii="Times New Roman" w:hAnsi="Times New Roman" w:cs="Times New Roman"/>
      <w:b/>
      <w:bCs/>
      <w:sz w:val="24"/>
      <w:szCs w:val="24"/>
    </w:rPr>
  </w:style>
  <w:style w:type="paragraph" w:customStyle="1" w:styleId="91">
    <w:name w:val="9.1"/>
    <w:basedOn w:val="Normalny"/>
    <w:next w:val="NormalnyIRIESD"/>
    <w:autoRedefine/>
    <w:qFormat/>
    <w:rsid w:val="00586169"/>
    <w:pPr>
      <w:numPr>
        <w:numId w:val="19"/>
      </w:numPr>
      <w:ind w:left="964" w:hanging="964"/>
    </w:pPr>
  </w:style>
  <w:style w:type="paragraph" w:customStyle="1" w:styleId="9111">
    <w:name w:val="9.1.1.1"/>
    <w:basedOn w:val="Normalny"/>
    <w:next w:val="NormalnyIRIESD"/>
    <w:autoRedefine/>
    <w:qFormat/>
    <w:rsid w:val="00586169"/>
    <w:pPr>
      <w:numPr>
        <w:numId w:val="20"/>
      </w:numPr>
      <w:ind w:left="964" w:hanging="964"/>
    </w:pPr>
  </w:style>
  <w:style w:type="paragraph" w:customStyle="1" w:styleId="pity">
    <w:name w:val="piąty"/>
    <w:basedOn w:val="Normalny"/>
    <w:next w:val="NormalnyIRIESD"/>
    <w:autoRedefine/>
    <w:qFormat/>
    <w:rsid w:val="00BA64DE"/>
    <w:pPr>
      <w:numPr>
        <w:numId w:val="21"/>
      </w:numPr>
    </w:pPr>
  </w:style>
  <w:style w:type="paragraph" w:customStyle="1" w:styleId="pity0">
    <w:name w:val="piąty."/>
    <w:basedOn w:val="Normalny"/>
    <w:next w:val="NormalnyIRIESD"/>
    <w:autoRedefine/>
    <w:qFormat/>
    <w:rsid w:val="00BA64DE"/>
    <w:pPr>
      <w:numPr>
        <w:numId w:val="22"/>
      </w:numPr>
    </w:pPr>
  </w:style>
  <w:style w:type="paragraph" w:customStyle="1" w:styleId="Nagwektabela">
    <w:name w:val="Nagłówek tabela"/>
    <w:basedOn w:val="Normalny"/>
    <w:qFormat/>
    <w:rsid w:val="008F4FC4"/>
    <w:pPr>
      <w:spacing w:after="0" w:line="240" w:lineRule="auto"/>
      <w:jc w:val="center"/>
    </w:pPr>
    <w:rPr>
      <w:b/>
    </w:rPr>
  </w:style>
  <w:style w:type="paragraph" w:customStyle="1" w:styleId="Rzymskietabela">
    <w:name w:val="Rzymskie tabela"/>
    <w:basedOn w:val="Normalny"/>
    <w:autoRedefine/>
    <w:qFormat/>
    <w:rsid w:val="00E210DF"/>
    <w:pPr>
      <w:numPr>
        <w:numId w:val="23"/>
      </w:numPr>
      <w:spacing w:after="0" w:line="240" w:lineRule="auto"/>
      <w:ind w:left="511" w:hanging="454"/>
      <w:jc w:val="left"/>
    </w:pPr>
    <w:rPr>
      <w:sz w:val="22"/>
    </w:rPr>
  </w:style>
  <w:style w:type="paragraph" w:customStyle="1" w:styleId="Atabela">
    <w:name w:val="A tabela"/>
    <w:basedOn w:val="Rzymskietabela"/>
    <w:qFormat/>
    <w:rsid w:val="007C3679"/>
    <w:pPr>
      <w:numPr>
        <w:numId w:val="24"/>
      </w:numPr>
    </w:pPr>
  </w:style>
  <w:style w:type="paragraph" w:customStyle="1" w:styleId="normalnytabela">
    <w:name w:val="normalny tabela"/>
    <w:basedOn w:val="Normalny"/>
    <w:qFormat/>
    <w:rsid w:val="00E210DF"/>
    <w:pPr>
      <w:spacing w:after="0" w:line="240" w:lineRule="auto"/>
      <w:jc w:val="left"/>
    </w:pPr>
    <w:rPr>
      <w:sz w:val="22"/>
    </w:rPr>
  </w:style>
  <w:style w:type="paragraph" w:customStyle="1" w:styleId="podkrelonytabela">
    <w:name w:val="podkreślony tabela"/>
    <w:basedOn w:val="normalnytabela"/>
    <w:qFormat/>
    <w:rsid w:val="00E210DF"/>
    <w:rPr>
      <w:u w:val="single"/>
    </w:rPr>
  </w:style>
  <w:style w:type="paragraph" w:styleId="Tekstprzypisukocowego">
    <w:name w:val="endnote text"/>
    <w:basedOn w:val="Normalny"/>
    <w:link w:val="TekstprzypisukocowegoZnak"/>
    <w:uiPriority w:val="99"/>
    <w:semiHidden/>
    <w:unhideWhenUsed/>
    <w:rsid w:val="004214D3"/>
    <w:pPr>
      <w:spacing w:before="0"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214D3"/>
    <w:rPr>
      <w:rFonts w:ascii="Times New Roman" w:hAnsi="Times New Roman"/>
      <w:sz w:val="20"/>
      <w:szCs w:val="20"/>
    </w:rPr>
  </w:style>
  <w:style w:type="character" w:styleId="Odwoanieprzypisukocowego">
    <w:name w:val="endnote reference"/>
    <w:basedOn w:val="Domylnaczcionkaakapitu"/>
    <w:uiPriority w:val="99"/>
    <w:semiHidden/>
    <w:unhideWhenUsed/>
    <w:rsid w:val="004214D3"/>
    <w:rPr>
      <w:vertAlign w:val="superscript"/>
    </w:rPr>
  </w:style>
  <w:style w:type="paragraph" w:styleId="Nagwek">
    <w:name w:val="header"/>
    <w:basedOn w:val="Normalny"/>
    <w:link w:val="NagwekZnak"/>
    <w:uiPriority w:val="99"/>
    <w:unhideWhenUsed/>
    <w:rsid w:val="00930A78"/>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930A78"/>
    <w:rPr>
      <w:rFonts w:ascii="Times New Roman" w:hAnsi="Times New Roman"/>
      <w:sz w:val="24"/>
    </w:rPr>
  </w:style>
  <w:style w:type="paragraph" w:styleId="Stopka">
    <w:name w:val="footer"/>
    <w:basedOn w:val="Normalny"/>
    <w:link w:val="StopkaZnak"/>
    <w:uiPriority w:val="99"/>
    <w:unhideWhenUsed/>
    <w:rsid w:val="00930A78"/>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930A78"/>
    <w:rPr>
      <w:rFonts w:ascii="Times New Roman" w:hAnsi="Times New Roman"/>
      <w:sz w:val="24"/>
    </w:rPr>
  </w:style>
  <w:style w:type="paragraph" w:customStyle="1" w:styleId="NormalnyIRiESDgruby">
    <w:name w:val="Normalny IRiESD gruby"/>
    <w:basedOn w:val="NormalnyIRIESD"/>
    <w:qFormat/>
    <w:rsid w:val="00CB0F77"/>
    <w:rPr>
      <w:b/>
      <w:bCs/>
    </w:rPr>
  </w:style>
  <w:style w:type="paragraph" w:customStyle="1" w:styleId="Normalny3">
    <w:name w:val="Normalny 3"/>
    <w:basedOn w:val="NormalnyIRIESD"/>
    <w:qFormat/>
    <w:rsid w:val="00EC14C5"/>
    <w:pPr>
      <w:ind w:left="714"/>
    </w:pPr>
  </w:style>
  <w:style w:type="paragraph" w:customStyle="1" w:styleId="i">
    <w:name w:val="i"/>
    <w:basedOn w:val="czwarty"/>
    <w:qFormat/>
    <w:rsid w:val="00627ADD"/>
    <w:pPr>
      <w:numPr>
        <w:numId w:val="33"/>
      </w:numPr>
      <w:ind w:left="1321" w:hanging="3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74B76-ECC5-43D1-AA37-49447D885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6455</Words>
  <Characters>38730</Characters>
  <Application>Microsoft Office Word</Application>
  <DocSecurity>0</DocSecurity>
  <Lines>322</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Grupa P4B</dc:creator>
  <cp:keywords/>
  <dc:description/>
  <cp:lastModifiedBy>Piotr Lentyński</cp:lastModifiedBy>
  <cp:revision>2</cp:revision>
  <cp:lastPrinted>2023-02-14T20:56:00Z</cp:lastPrinted>
  <dcterms:created xsi:type="dcterms:W3CDTF">2023-05-26T13:21:00Z</dcterms:created>
  <dcterms:modified xsi:type="dcterms:W3CDTF">2023-05-26T13:21:00Z</dcterms:modified>
</cp:coreProperties>
</file>